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3371" w14:textId="77777777" w:rsidR="00E43C97" w:rsidRPr="00706248" w:rsidRDefault="00E43C97" w:rsidP="00352494">
      <w:pPr>
        <w:jc w:val="both"/>
        <w:rPr>
          <w:rFonts w:ascii="Arial" w:hAnsi="Arial" w:cs="Arial"/>
        </w:rPr>
      </w:pPr>
      <w:r w:rsidRPr="00706248">
        <w:rPr>
          <w:rFonts w:ascii="Arial" w:hAnsi="Arial" w:cs="Arial"/>
        </w:rPr>
        <w:br w:type="textWrapping" w:clear="all"/>
      </w:r>
    </w:p>
    <w:p w14:paraId="373D4ECA" w14:textId="77777777" w:rsidR="00E43C97" w:rsidRPr="00706248" w:rsidRDefault="00E43C97" w:rsidP="00352494">
      <w:pPr>
        <w:jc w:val="both"/>
        <w:rPr>
          <w:rFonts w:ascii="Arial" w:hAnsi="Arial" w:cs="Arial"/>
        </w:rPr>
      </w:pPr>
    </w:p>
    <w:p w14:paraId="1AD9A7FE" w14:textId="77777777" w:rsidR="00E43C97" w:rsidRPr="00706248" w:rsidRDefault="00E43C97" w:rsidP="00352494">
      <w:pPr>
        <w:jc w:val="both"/>
        <w:rPr>
          <w:rFonts w:ascii="Arial" w:hAnsi="Arial" w:cs="Arial"/>
        </w:rPr>
      </w:pPr>
    </w:p>
    <w:p w14:paraId="26D9A25D" w14:textId="77777777" w:rsidR="00E43C97" w:rsidRPr="00706248" w:rsidRDefault="00E43C97" w:rsidP="00352494">
      <w:pPr>
        <w:jc w:val="both"/>
        <w:rPr>
          <w:rFonts w:ascii="Arial" w:hAnsi="Arial" w:cs="Arial"/>
        </w:rPr>
      </w:pPr>
    </w:p>
    <w:p w14:paraId="5B61559E" w14:textId="77777777" w:rsidR="00E43C97" w:rsidRPr="00706248" w:rsidRDefault="00E43C97" w:rsidP="00352494">
      <w:pPr>
        <w:jc w:val="both"/>
        <w:rPr>
          <w:rFonts w:ascii="Arial" w:hAnsi="Arial" w:cs="Arial"/>
        </w:rPr>
      </w:pPr>
    </w:p>
    <w:p w14:paraId="612E95D8" w14:textId="77777777" w:rsidR="00E43C97" w:rsidRPr="00706248" w:rsidRDefault="00E43C97" w:rsidP="00352494">
      <w:pPr>
        <w:jc w:val="both"/>
        <w:rPr>
          <w:rFonts w:ascii="Arial" w:hAnsi="Arial" w:cs="Arial"/>
        </w:rPr>
      </w:pPr>
    </w:p>
    <w:p w14:paraId="03E19096" w14:textId="77777777" w:rsidR="00E43C97" w:rsidRPr="00706248" w:rsidRDefault="00E43C97" w:rsidP="00352494">
      <w:pPr>
        <w:jc w:val="both"/>
        <w:rPr>
          <w:rFonts w:ascii="Arial" w:hAnsi="Arial" w:cs="Arial"/>
        </w:rPr>
      </w:pPr>
    </w:p>
    <w:p w14:paraId="6537581D" w14:textId="77777777" w:rsidR="00E43C97" w:rsidRDefault="00E43C97" w:rsidP="00E43C97">
      <w:pPr>
        <w:widowControl w:val="0"/>
        <w:autoSpaceDE w:val="0"/>
        <w:autoSpaceDN w:val="0"/>
        <w:spacing w:after="0" w:line="240" w:lineRule="auto"/>
        <w:jc w:val="center"/>
        <w:outlineLvl w:val="0"/>
        <w:rPr>
          <w:rFonts w:ascii="Arial" w:eastAsia="Calibri" w:hAnsi="Arial" w:cs="Arial"/>
          <w:b/>
          <w:bCs/>
          <w:color w:val="2E74B5" w:themeColor="accent5" w:themeShade="BF"/>
          <w:sz w:val="32"/>
          <w:szCs w:val="32"/>
        </w:rPr>
      </w:pPr>
      <w:bookmarkStart w:id="0" w:name="_Toc120843934"/>
      <w:r w:rsidRPr="00706248">
        <w:rPr>
          <w:rFonts w:ascii="Arial" w:eastAsia="Calibri" w:hAnsi="Arial" w:cs="Arial"/>
          <w:b/>
          <w:bCs/>
          <w:color w:val="2E74B5" w:themeColor="accent5" w:themeShade="BF"/>
          <w:sz w:val="32"/>
          <w:szCs w:val="32"/>
          <w:lang w:val="en-GB"/>
        </w:rPr>
        <w:t xml:space="preserve">Position Paper on </w:t>
      </w:r>
      <w:r w:rsidRPr="00706248">
        <w:rPr>
          <w:rFonts w:ascii="Arial" w:eastAsia="Calibri" w:hAnsi="Arial" w:cs="Arial"/>
          <w:b/>
          <w:bCs/>
          <w:color w:val="2E74B5" w:themeColor="accent5" w:themeShade="BF"/>
          <w:sz w:val="32"/>
          <w:szCs w:val="32"/>
        </w:rPr>
        <w:t xml:space="preserve">the provisions of Transport of the European Commission </w:t>
      </w:r>
      <w:r w:rsidRPr="00706248">
        <w:rPr>
          <w:rFonts w:ascii="Arial" w:eastAsia="Calibri" w:hAnsi="Arial" w:cs="Arial"/>
          <w:b/>
          <w:bCs/>
          <w:color w:val="2E74B5" w:themeColor="accent5" w:themeShade="BF"/>
          <w:sz w:val="32"/>
          <w:szCs w:val="32"/>
          <w:lang w:val="en-GB"/>
        </w:rPr>
        <w:t>proposal to revise</w:t>
      </w:r>
      <w:r w:rsidRPr="00706248">
        <w:rPr>
          <w:rFonts w:ascii="Arial" w:eastAsia="Calibri" w:hAnsi="Arial" w:cs="Arial"/>
          <w:b/>
          <w:bCs/>
          <w:color w:val="2E74B5" w:themeColor="accent5" w:themeShade="BF"/>
          <w:sz w:val="32"/>
          <w:szCs w:val="32"/>
        </w:rPr>
        <w:t xml:space="preserve"> the Energy Tax Directive (ETD)</w:t>
      </w:r>
      <w:bookmarkEnd w:id="0"/>
    </w:p>
    <w:p w14:paraId="6C82A96E" w14:textId="77777777" w:rsidR="00FB063A" w:rsidRDefault="00FB063A" w:rsidP="00FB063A">
      <w:pPr>
        <w:widowControl w:val="0"/>
        <w:pBdr>
          <w:bottom w:val="single" w:sz="12" w:space="1" w:color="auto"/>
        </w:pBdr>
        <w:autoSpaceDE w:val="0"/>
        <w:autoSpaceDN w:val="0"/>
        <w:spacing w:after="0" w:line="240" w:lineRule="auto"/>
        <w:jc w:val="both"/>
        <w:outlineLvl w:val="0"/>
        <w:rPr>
          <w:rFonts w:ascii="Arial" w:eastAsia="Calibri" w:hAnsi="Arial" w:cs="Arial"/>
          <w:b/>
          <w:bCs/>
          <w:color w:val="2E74B5" w:themeColor="accent5" w:themeShade="BF"/>
          <w:sz w:val="32"/>
          <w:szCs w:val="32"/>
        </w:rPr>
      </w:pPr>
    </w:p>
    <w:p w14:paraId="49E6F4DE" w14:textId="77777777" w:rsidR="00FB063A" w:rsidRPr="00706248" w:rsidRDefault="00FB063A" w:rsidP="00706248">
      <w:pPr>
        <w:widowControl w:val="0"/>
        <w:autoSpaceDE w:val="0"/>
        <w:autoSpaceDN w:val="0"/>
        <w:spacing w:after="0" w:line="240" w:lineRule="auto"/>
        <w:jc w:val="both"/>
        <w:outlineLvl w:val="0"/>
        <w:rPr>
          <w:rFonts w:ascii="Arial" w:eastAsia="Calibri" w:hAnsi="Arial" w:cs="Arial"/>
          <w:b/>
          <w:bCs/>
          <w:color w:val="2E74B5" w:themeColor="accent5" w:themeShade="BF"/>
          <w:sz w:val="32"/>
          <w:szCs w:val="32"/>
          <w:lang w:val="en-GB"/>
        </w:rPr>
      </w:pPr>
    </w:p>
    <w:p w14:paraId="52BA195C" w14:textId="77777777" w:rsidR="004C5D4B" w:rsidRDefault="004C5D4B" w:rsidP="00352494">
      <w:pPr>
        <w:jc w:val="both"/>
        <w:rPr>
          <w:rFonts w:ascii="Arial" w:hAnsi="Arial" w:cs="Arial"/>
          <w:b/>
          <w:bCs/>
          <w:sz w:val="20"/>
          <w:szCs w:val="20"/>
          <w:lang w:val="mt-MT"/>
        </w:rPr>
      </w:pPr>
    </w:p>
    <w:p w14:paraId="46CCAE11" w14:textId="77777777" w:rsidR="004C5D4B" w:rsidRDefault="004C5D4B" w:rsidP="00352494">
      <w:pPr>
        <w:jc w:val="both"/>
        <w:rPr>
          <w:rFonts w:ascii="Arial" w:hAnsi="Arial" w:cs="Arial"/>
          <w:b/>
          <w:bCs/>
          <w:sz w:val="20"/>
          <w:szCs w:val="20"/>
          <w:lang w:val="mt-MT"/>
        </w:rPr>
      </w:pPr>
    </w:p>
    <w:p w14:paraId="7F05F6B5" w14:textId="77777777" w:rsidR="004C5D4B" w:rsidRDefault="004C5D4B" w:rsidP="00352494">
      <w:pPr>
        <w:jc w:val="both"/>
        <w:rPr>
          <w:rFonts w:ascii="Arial" w:hAnsi="Arial" w:cs="Arial"/>
          <w:b/>
          <w:bCs/>
          <w:sz w:val="20"/>
          <w:szCs w:val="20"/>
          <w:lang w:val="mt-MT"/>
        </w:rPr>
      </w:pPr>
    </w:p>
    <w:p w14:paraId="412B64E5" w14:textId="77777777" w:rsidR="004C5D4B" w:rsidRDefault="004C5D4B" w:rsidP="00352494">
      <w:pPr>
        <w:jc w:val="both"/>
        <w:rPr>
          <w:rFonts w:ascii="Arial" w:hAnsi="Arial" w:cs="Arial"/>
          <w:b/>
          <w:bCs/>
          <w:sz w:val="20"/>
          <w:szCs w:val="20"/>
          <w:lang w:val="mt-MT"/>
        </w:rPr>
      </w:pPr>
    </w:p>
    <w:p w14:paraId="05042341" w14:textId="77777777" w:rsidR="004C5D4B" w:rsidRDefault="004C5D4B" w:rsidP="00352494">
      <w:pPr>
        <w:jc w:val="both"/>
        <w:rPr>
          <w:rFonts w:ascii="Arial" w:hAnsi="Arial" w:cs="Arial"/>
          <w:b/>
          <w:bCs/>
          <w:sz w:val="20"/>
          <w:szCs w:val="20"/>
          <w:lang w:val="mt-MT"/>
        </w:rPr>
      </w:pPr>
    </w:p>
    <w:p w14:paraId="2324C6A8" w14:textId="373D12FC" w:rsidR="00FB063A" w:rsidRPr="00706248" w:rsidRDefault="00C31B5D" w:rsidP="00352494">
      <w:pPr>
        <w:jc w:val="both"/>
        <w:rPr>
          <w:rFonts w:ascii="Arial" w:hAnsi="Arial" w:cs="Arial"/>
        </w:rPr>
      </w:pPr>
      <w:r>
        <w:rPr>
          <w:rFonts w:ascii="Arial" w:hAnsi="Arial" w:cs="Arial"/>
          <w:b/>
          <w:bCs/>
          <w:sz w:val="20"/>
          <w:szCs w:val="20"/>
          <w:lang w:val="mt-MT"/>
        </w:rPr>
        <w:t>Version:</w:t>
      </w:r>
      <w:r>
        <w:rPr>
          <w:rFonts w:ascii="Arial" w:hAnsi="Arial" w:cs="Arial"/>
          <w:b/>
          <w:bCs/>
          <w:sz w:val="20"/>
          <w:szCs w:val="20"/>
          <w:lang w:val="mt-MT"/>
        </w:rPr>
        <w:tab/>
      </w:r>
      <w:r w:rsidR="00244222">
        <w:rPr>
          <w:rFonts w:ascii="Arial" w:hAnsi="Arial" w:cs="Arial"/>
          <w:b/>
          <w:bCs/>
          <w:sz w:val="20"/>
          <w:szCs w:val="20"/>
          <w:lang w:val="mt-MT"/>
        </w:rPr>
        <w:t>2</w:t>
      </w:r>
      <w:r>
        <w:rPr>
          <w:rFonts w:ascii="Arial" w:hAnsi="Arial" w:cs="Arial"/>
          <w:b/>
          <w:bCs/>
          <w:sz w:val="20"/>
          <w:szCs w:val="20"/>
          <w:lang w:val="mt-MT"/>
        </w:rPr>
        <w:t>.0</w:t>
      </w:r>
    </w:p>
    <w:p w14:paraId="5CFF01C1" w14:textId="77777777" w:rsidR="00FB063A" w:rsidRPr="00706248" w:rsidRDefault="00FB063A" w:rsidP="00352494">
      <w:pPr>
        <w:jc w:val="both"/>
        <w:rPr>
          <w:rFonts w:ascii="Arial" w:hAnsi="Arial" w:cs="Arial"/>
        </w:rPr>
      </w:pPr>
    </w:p>
    <w:p w14:paraId="2243C019" w14:textId="77777777" w:rsidR="00FB063A" w:rsidRPr="00706248" w:rsidRDefault="00FB063A" w:rsidP="00352494">
      <w:pPr>
        <w:jc w:val="both"/>
        <w:rPr>
          <w:rFonts w:ascii="Arial" w:hAnsi="Arial" w:cs="Arial"/>
        </w:rPr>
      </w:pPr>
    </w:p>
    <w:p w14:paraId="43B82314" w14:textId="77777777" w:rsidR="00FB063A" w:rsidRPr="00706248" w:rsidRDefault="00FB063A" w:rsidP="00352494">
      <w:pPr>
        <w:jc w:val="both"/>
        <w:rPr>
          <w:rFonts w:ascii="Arial" w:hAnsi="Arial" w:cs="Arial"/>
        </w:rPr>
      </w:pPr>
    </w:p>
    <w:p w14:paraId="79FE560B" w14:textId="77777777" w:rsidR="00FB063A" w:rsidRPr="00706248" w:rsidRDefault="00FB063A" w:rsidP="00352494">
      <w:pPr>
        <w:jc w:val="both"/>
        <w:rPr>
          <w:rFonts w:ascii="Arial" w:hAnsi="Arial" w:cs="Arial"/>
        </w:rPr>
      </w:pPr>
    </w:p>
    <w:p w14:paraId="6967114D" w14:textId="77777777" w:rsidR="00FB063A" w:rsidRPr="00706248" w:rsidRDefault="00FB063A" w:rsidP="00352494">
      <w:pPr>
        <w:jc w:val="both"/>
        <w:rPr>
          <w:rFonts w:ascii="Arial" w:hAnsi="Arial" w:cs="Arial"/>
        </w:rPr>
      </w:pPr>
    </w:p>
    <w:p w14:paraId="60A74B10" w14:textId="77777777" w:rsidR="00FB063A" w:rsidRPr="00706248" w:rsidRDefault="00FB063A" w:rsidP="00352494">
      <w:pPr>
        <w:jc w:val="both"/>
        <w:rPr>
          <w:rFonts w:ascii="Arial" w:hAnsi="Arial" w:cs="Arial"/>
        </w:rPr>
      </w:pPr>
    </w:p>
    <w:p w14:paraId="09FBB9D2" w14:textId="0C32AE16" w:rsidR="00FB063A" w:rsidRPr="00706248" w:rsidRDefault="00FB063A" w:rsidP="00FB063A">
      <w:pPr>
        <w:rPr>
          <w:rFonts w:ascii="Arial" w:hAnsi="Arial" w:cs="Arial"/>
        </w:rPr>
      </w:pPr>
    </w:p>
    <w:p w14:paraId="19145E38" w14:textId="424D0287" w:rsidR="00FB063A" w:rsidRPr="00FB063A" w:rsidRDefault="00FB063A" w:rsidP="00FB063A">
      <w:pPr>
        <w:rPr>
          <w:rFonts w:ascii="Arial" w:hAnsi="Arial" w:cs="Arial"/>
          <w:sz w:val="20"/>
          <w:szCs w:val="20"/>
          <w:lang w:val="mt-MT"/>
        </w:rPr>
      </w:pPr>
    </w:p>
    <w:tbl>
      <w:tblPr>
        <w:tblStyle w:val="TableGrid"/>
        <w:tblpPr w:leftFromText="180" w:rightFromText="180" w:vertAnchor="text" w:horzAnchor="margin" w:tblpY="185"/>
        <w:tblW w:w="0" w:type="auto"/>
        <w:tblLook w:val="04A0" w:firstRow="1" w:lastRow="0" w:firstColumn="1" w:lastColumn="0" w:noHBand="0" w:noVBand="1"/>
      </w:tblPr>
      <w:tblGrid>
        <w:gridCol w:w="3620"/>
        <w:gridCol w:w="3620"/>
      </w:tblGrid>
      <w:tr w:rsidR="00FB063A" w:rsidRPr="00706248" w14:paraId="40959889" w14:textId="77777777" w:rsidTr="00706248">
        <w:trPr>
          <w:trHeight w:val="306"/>
        </w:trPr>
        <w:tc>
          <w:tcPr>
            <w:tcW w:w="3620" w:type="dxa"/>
          </w:tcPr>
          <w:p w14:paraId="3D6F5546" w14:textId="77777777" w:rsidR="00FB063A" w:rsidRPr="00FB063A" w:rsidRDefault="00FB063A" w:rsidP="007A560A">
            <w:pPr>
              <w:rPr>
                <w:rFonts w:ascii="Arial" w:hAnsi="Arial" w:cs="Arial"/>
                <w:sz w:val="20"/>
                <w:szCs w:val="20"/>
                <w:lang w:val="mt-MT"/>
              </w:rPr>
            </w:pPr>
            <w:r w:rsidRPr="00FB063A">
              <w:rPr>
                <w:rFonts w:ascii="Arial" w:hAnsi="Arial" w:cs="Arial"/>
                <w:b/>
                <w:bCs/>
                <w:sz w:val="20"/>
                <w:szCs w:val="20"/>
                <w:lang w:val="mt-MT"/>
              </w:rPr>
              <w:t>Date</w:t>
            </w:r>
            <w:r w:rsidRPr="00FB063A">
              <w:rPr>
                <w:rFonts w:ascii="Arial" w:hAnsi="Arial" w:cs="Arial"/>
                <w:sz w:val="20"/>
                <w:szCs w:val="20"/>
                <w:lang w:val="mt-MT"/>
              </w:rPr>
              <w:t>:</w:t>
            </w:r>
          </w:p>
        </w:tc>
        <w:tc>
          <w:tcPr>
            <w:tcW w:w="3620" w:type="dxa"/>
          </w:tcPr>
          <w:p w14:paraId="73272A7B" w14:textId="77777777" w:rsidR="00FB063A" w:rsidRPr="00FB063A" w:rsidRDefault="00FB063A" w:rsidP="007A560A">
            <w:pPr>
              <w:rPr>
                <w:rFonts w:ascii="Arial" w:hAnsi="Arial" w:cs="Arial"/>
                <w:sz w:val="20"/>
                <w:szCs w:val="20"/>
                <w:lang w:val="mt-MT"/>
              </w:rPr>
            </w:pPr>
            <w:r w:rsidRPr="00FB063A">
              <w:rPr>
                <w:rFonts w:ascii="Arial" w:hAnsi="Arial" w:cs="Arial"/>
                <w:sz w:val="20"/>
                <w:szCs w:val="20"/>
                <w:lang w:val="mt-MT"/>
              </w:rPr>
              <w:t>02/12/22</w:t>
            </w:r>
          </w:p>
        </w:tc>
      </w:tr>
      <w:tr w:rsidR="00FB063A" w:rsidRPr="00706248" w14:paraId="270F09EB" w14:textId="77777777" w:rsidTr="00706248">
        <w:trPr>
          <w:trHeight w:val="306"/>
        </w:trPr>
        <w:tc>
          <w:tcPr>
            <w:tcW w:w="3620" w:type="dxa"/>
          </w:tcPr>
          <w:p w14:paraId="46099051" w14:textId="77777777" w:rsidR="00FB063A" w:rsidRPr="00FB063A" w:rsidRDefault="00FB063A" w:rsidP="007A560A">
            <w:pPr>
              <w:rPr>
                <w:rFonts w:ascii="Arial" w:hAnsi="Arial" w:cs="Arial"/>
                <w:sz w:val="20"/>
                <w:szCs w:val="20"/>
                <w:lang w:val="mt-MT"/>
              </w:rPr>
            </w:pPr>
          </w:p>
        </w:tc>
        <w:tc>
          <w:tcPr>
            <w:tcW w:w="3620" w:type="dxa"/>
          </w:tcPr>
          <w:p w14:paraId="77F25761" w14:textId="77777777" w:rsidR="00FB063A" w:rsidRPr="00FB063A" w:rsidRDefault="00FB063A" w:rsidP="007A560A">
            <w:pPr>
              <w:rPr>
                <w:rFonts w:ascii="Arial" w:hAnsi="Arial" w:cs="Arial"/>
                <w:sz w:val="20"/>
                <w:szCs w:val="20"/>
                <w:lang w:val="mt-MT"/>
              </w:rPr>
            </w:pPr>
          </w:p>
        </w:tc>
      </w:tr>
      <w:tr w:rsidR="00FB063A" w:rsidRPr="00706248" w14:paraId="21D3BBEC" w14:textId="77777777" w:rsidTr="00706248">
        <w:trPr>
          <w:trHeight w:val="306"/>
        </w:trPr>
        <w:tc>
          <w:tcPr>
            <w:tcW w:w="3620" w:type="dxa"/>
          </w:tcPr>
          <w:p w14:paraId="06FC4295" w14:textId="77777777" w:rsidR="00FB063A" w:rsidRPr="00FB063A" w:rsidRDefault="00FB063A" w:rsidP="007A560A">
            <w:pPr>
              <w:rPr>
                <w:rFonts w:ascii="Arial" w:hAnsi="Arial" w:cs="Arial"/>
                <w:sz w:val="20"/>
                <w:szCs w:val="20"/>
                <w:lang w:val="mt-MT"/>
              </w:rPr>
            </w:pPr>
            <w:r w:rsidRPr="00FB063A">
              <w:rPr>
                <w:rFonts w:ascii="Arial" w:hAnsi="Arial" w:cs="Arial"/>
                <w:b/>
                <w:bCs/>
                <w:sz w:val="20"/>
                <w:szCs w:val="20"/>
                <w:lang w:val="mt-MT"/>
              </w:rPr>
              <w:t>Feedback compiled by</w:t>
            </w:r>
            <w:r w:rsidRPr="00FB063A">
              <w:rPr>
                <w:rFonts w:ascii="Arial" w:hAnsi="Arial" w:cs="Arial"/>
                <w:sz w:val="20"/>
                <w:szCs w:val="20"/>
                <w:lang w:val="mt-MT"/>
              </w:rPr>
              <w:t>:</w:t>
            </w:r>
          </w:p>
        </w:tc>
        <w:tc>
          <w:tcPr>
            <w:tcW w:w="3620" w:type="dxa"/>
          </w:tcPr>
          <w:p w14:paraId="1693092D" w14:textId="62B5E0AC" w:rsidR="00FB063A" w:rsidRPr="00FB063A" w:rsidRDefault="00FB063A" w:rsidP="007A560A">
            <w:pPr>
              <w:rPr>
                <w:rFonts w:ascii="Arial" w:hAnsi="Arial" w:cs="Arial"/>
                <w:sz w:val="20"/>
                <w:szCs w:val="20"/>
                <w:lang w:val="mt-MT"/>
              </w:rPr>
            </w:pPr>
            <w:r w:rsidRPr="00FB063A">
              <w:rPr>
                <w:rFonts w:ascii="Arial" w:hAnsi="Arial" w:cs="Arial"/>
                <w:sz w:val="20"/>
                <w:szCs w:val="20"/>
                <w:lang w:val="mt-MT"/>
              </w:rPr>
              <w:t>Irene Mikelis and Daniel Borg (Technical Committee of INSULEUR)</w:t>
            </w:r>
          </w:p>
        </w:tc>
      </w:tr>
      <w:tr w:rsidR="00FB063A" w:rsidRPr="00706248" w14:paraId="5A52F382" w14:textId="77777777" w:rsidTr="00706248">
        <w:trPr>
          <w:trHeight w:val="306"/>
        </w:trPr>
        <w:tc>
          <w:tcPr>
            <w:tcW w:w="3620" w:type="dxa"/>
          </w:tcPr>
          <w:p w14:paraId="52DD0587" w14:textId="77777777" w:rsidR="00FB063A" w:rsidRPr="00FB063A" w:rsidRDefault="00FB063A" w:rsidP="007A560A">
            <w:pPr>
              <w:rPr>
                <w:rFonts w:ascii="Arial" w:hAnsi="Arial" w:cs="Arial"/>
                <w:sz w:val="20"/>
                <w:szCs w:val="20"/>
                <w:lang w:val="mt-MT"/>
              </w:rPr>
            </w:pPr>
          </w:p>
        </w:tc>
        <w:tc>
          <w:tcPr>
            <w:tcW w:w="3620" w:type="dxa"/>
          </w:tcPr>
          <w:p w14:paraId="042A001C" w14:textId="77777777" w:rsidR="00FB063A" w:rsidRPr="00FB063A" w:rsidRDefault="00FB063A" w:rsidP="007A560A">
            <w:pPr>
              <w:rPr>
                <w:rFonts w:ascii="Arial" w:hAnsi="Arial" w:cs="Arial"/>
                <w:sz w:val="20"/>
                <w:szCs w:val="20"/>
                <w:lang w:val="mt-MT"/>
              </w:rPr>
            </w:pPr>
          </w:p>
        </w:tc>
      </w:tr>
    </w:tbl>
    <w:p w14:paraId="3B54AB0D" w14:textId="1F66C8F7" w:rsidR="00FB063A" w:rsidRPr="00FB063A" w:rsidRDefault="004C5D4B" w:rsidP="00FB063A">
      <w:pPr>
        <w:rPr>
          <w:rFonts w:ascii="Arial" w:hAnsi="Arial" w:cs="Arial"/>
          <w:sz w:val="20"/>
          <w:szCs w:val="20"/>
          <w:lang w:val="mt-MT"/>
        </w:rPr>
      </w:pPr>
      <w:r w:rsidRPr="00FB063A">
        <w:rPr>
          <w:rFonts w:ascii="Arial" w:hAnsi="Arial" w:cs="Arial"/>
          <w:noProof/>
          <w:sz w:val="20"/>
          <w:szCs w:val="20"/>
          <w:lang w:val="mt-MT"/>
        </w:rPr>
        <w:drawing>
          <wp:anchor distT="0" distB="0" distL="114300" distR="114300" simplePos="0" relativeHeight="251659264" behindDoc="1" locked="0" layoutInCell="1" allowOverlap="1" wp14:anchorId="6B7AD160" wp14:editId="5B8CF71B">
            <wp:simplePos x="0" y="0"/>
            <wp:positionH relativeFrom="margin">
              <wp:posOffset>4709160</wp:posOffset>
            </wp:positionH>
            <wp:positionV relativeFrom="paragraph">
              <wp:posOffset>3810</wp:posOffset>
            </wp:positionV>
            <wp:extent cx="1568450" cy="1568450"/>
            <wp:effectExtent l="0" t="0" r="0" b="0"/>
            <wp:wrapTight wrapText="bothSides">
              <wp:wrapPolygon edited="0">
                <wp:start x="0" y="0"/>
                <wp:lineTo x="0" y="21250"/>
                <wp:lineTo x="21250" y="21250"/>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568450" cy="1568450"/>
                    </a:xfrm>
                    <a:prstGeom prst="rect">
                      <a:avLst/>
                    </a:prstGeom>
                  </pic:spPr>
                </pic:pic>
              </a:graphicData>
            </a:graphic>
            <wp14:sizeRelH relativeFrom="margin">
              <wp14:pctWidth>0</wp14:pctWidth>
            </wp14:sizeRelH>
            <wp14:sizeRelV relativeFrom="margin">
              <wp14:pctHeight>0</wp14:pctHeight>
            </wp14:sizeRelV>
          </wp:anchor>
        </w:drawing>
      </w:r>
    </w:p>
    <w:p w14:paraId="3A32EFFC" w14:textId="77777777" w:rsidR="00FB063A" w:rsidRPr="00FB063A" w:rsidRDefault="00FB063A" w:rsidP="00FB063A">
      <w:pPr>
        <w:rPr>
          <w:rFonts w:ascii="Arial" w:hAnsi="Arial" w:cs="Arial"/>
          <w:sz w:val="20"/>
          <w:szCs w:val="20"/>
          <w:lang w:val="mt-MT"/>
        </w:rPr>
      </w:pPr>
    </w:p>
    <w:p w14:paraId="4F2D5D5A" w14:textId="77777777" w:rsidR="00FB063A" w:rsidRPr="00FB063A" w:rsidRDefault="00FB063A" w:rsidP="00FB063A">
      <w:pPr>
        <w:rPr>
          <w:rFonts w:ascii="Arial" w:hAnsi="Arial" w:cs="Arial"/>
          <w:sz w:val="20"/>
          <w:szCs w:val="20"/>
          <w:lang w:val="mt-MT"/>
        </w:rPr>
      </w:pPr>
    </w:p>
    <w:p w14:paraId="4DC046C6" w14:textId="70FE2390" w:rsidR="00FB063A" w:rsidRPr="00706248" w:rsidRDefault="00FB063A" w:rsidP="00352494">
      <w:pPr>
        <w:jc w:val="both"/>
        <w:rPr>
          <w:rFonts w:ascii="Arial" w:hAnsi="Arial" w:cs="Arial"/>
        </w:rPr>
        <w:sectPr w:rsidR="00FB063A" w:rsidRPr="00706248" w:rsidSect="003364BF">
          <w:pgSz w:w="12240" w:h="15840"/>
          <w:pgMar w:top="567" w:right="1134" w:bottom="567" w:left="1134" w:header="720" w:footer="720" w:gutter="0"/>
          <w:cols w:space="720"/>
          <w:docGrid w:linePitch="360"/>
        </w:sectPr>
      </w:pPr>
    </w:p>
    <w:sdt>
      <w:sdtPr>
        <w:rPr>
          <w:rFonts w:asciiTheme="minorHAnsi" w:eastAsiaTheme="minorHAnsi" w:hAnsiTheme="minorHAnsi" w:cstheme="minorBidi"/>
          <w:color w:val="auto"/>
          <w:sz w:val="22"/>
          <w:szCs w:val="22"/>
        </w:rPr>
        <w:id w:val="959465233"/>
        <w:docPartObj>
          <w:docPartGallery w:val="Table of Contents"/>
          <w:docPartUnique/>
        </w:docPartObj>
      </w:sdtPr>
      <w:sdtEndPr>
        <w:rPr>
          <w:b/>
          <w:bCs/>
          <w:noProof/>
        </w:rPr>
      </w:sdtEndPr>
      <w:sdtContent>
        <w:p w14:paraId="1E8252C7" w14:textId="1F9B1C47" w:rsidR="00A90B08" w:rsidRPr="00A90B08" w:rsidRDefault="00A90B08" w:rsidP="00A90B08">
          <w:pPr>
            <w:pStyle w:val="TOCHeading"/>
            <w:pBdr>
              <w:bottom w:val="single" w:sz="4" w:space="1" w:color="auto"/>
            </w:pBdr>
            <w:rPr>
              <w:rFonts w:ascii="Arial" w:hAnsi="Arial" w:cs="Arial"/>
              <w:b/>
              <w:bCs/>
              <w:sz w:val="28"/>
              <w:szCs w:val="28"/>
            </w:rPr>
          </w:pPr>
          <w:r w:rsidRPr="00A90B08">
            <w:rPr>
              <w:rFonts w:ascii="Arial" w:hAnsi="Arial" w:cs="Arial"/>
              <w:b/>
              <w:bCs/>
              <w:sz w:val="28"/>
              <w:szCs w:val="28"/>
            </w:rPr>
            <w:t>Contents</w:t>
          </w:r>
        </w:p>
        <w:p w14:paraId="2B2D1AD2" w14:textId="57074B86" w:rsidR="00A90B08" w:rsidRDefault="00A90B08">
          <w:pPr>
            <w:pStyle w:val="TOC1"/>
            <w:tabs>
              <w:tab w:val="right" w:leader="dot" w:pos="9962"/>
            </w:tabs>
            <w:rPr>
              <w:noProof/>
            </w:rPr>
          </w:pPr>
          <w:r>
            <w:fldChar w:fldCharType="begin"/>
          </w:r>
          <w:r>
            <w:instrText xml:space="preserve"> TOC \o "1-3" \h \z \u </w:instrText>
          </w:r>
          <w:r>
            <w:fldChar w:fldCharType="separate"/>
          </w:r>
        </w:p>
        <w:p w14:paraId="7C6AAE3F" w14:textId="27D27ED1" w:rsidR="00A90B08" w:rsidRDefault="00A90B08">
          <w:pPr>
            <w:pStyle w:val="TOC1"/>
            <w:tabs>
              <w:tab w:val="left" w:pos="440"/>
              <w:tab w:val="right" w:leader="dot" w:pos="9962"/>
            </w:tabs>
            <w:rPr>
              <w:rStyle w:val="Hyperlink"/>
              <w:rFonts w:ascii="Arial" w:hAnsi="Arial" w:cs="Arial"/>
              <w:noProof/>
            </w:rPr>
          </w:pPr>
          <w:hyperlink w:anchor="_Toc120843935" w:history="1">
            <w:r w:rsidRPr="00A90B08">
              <w:rPr>
                <w:rStyle w:val="Hyperlink"/>
                <w:rFonts w:ascii="Arial" w:hAnsi="Arial" w:cs="Arial"/>
                <w:b/>
                <w:bCs/>
                <w:noProof/>
              </w:rPr>
              <w:t>1.</w:t>
            </w:r>
            <w:r w:rsidRPr="00A90B08">
              <w:rPr>
                <w:rFonts w:ascii="Arial" w:hAnsi="Arial" w:cs="Arial"/>
                <w:noProof/>
              </w:rPr>
              <w:tab/>
            </w:r>
            <w:r w:rsidRPr="00A90B08">
              <w:rPr>
                <w:rStyle w:val="Hyperlink"/>
                <w:rFonts w:ascii="Arial" w:hAnsi="Arial" w:cs="Arial"/>
                <w:b/>
                <w:bCs/>
                <w:noProof/>
              </w:rPr>
              <w:t>Preamble</w:t>
            </w:r>
            <w:r w:rsidRPr="00A90B08">
              <w:rPr>
                <w:rFonts w:ascii="Arial" w:hAnsi="Arial" w:cs="Arial"/>
                <w:noProof/>
                <w:webHidden/>
              </w:rPr>
              <w:tab/>
            </w:r>
            <w:r w:rsidRPr="00A90B08">
              <w:rPr>
                <w:rFonts w:ascii="Arial" w:hAnsi="Arial" w:cs="Arial"/>
                <w:noProof/>
                <w:webHidden/>
              </w:rPr>
              <w:fldChar w:fldCharType="begin"/>
            </w:r>
            <w:r w:rsidRPr="00A90B08">
              <w:rPr>
                <w:rFonts w:ascii="Arial" w:hAnsi="Arial" w:cs="Arial"/>
                <w:noProof/>
                <w:webHidden/>
              </w:rPr>
              <w:instrText xml:space="preserve"> PAGEREF _Toc120843935 \h </w:instrText>
            </w:r>
            <w:r w:rsidRPr="00A90B08">
              <w:rPr>
                <w:rFonts w:ascii="Arial" w:hAnsi="Arial" w:cs="Arial"/>
                <w:noProof/>
                <w:webHidden/>
              </w:rPr>
            </w:r>
            <w:r w:rsidRPr="00A90B08">
              <w:rPr>
                <w:rFonts w:ascii="Arial" w:hAnsi="Arial" w:cs="Arial"/>
                <w:noProof/>
                <w:webHidden/>
              </w:rPr>
              <w:fldChar w:fldCharType="separate"/>
            </w:r>
            <w:r w:rsidR="009A4286">
              <w:rPr>
                <w:rFonts w:ascii="Arial" w:hAnsi="Arial" w:cs="Arial"/>
                <w:noProof/>
                <w:webHidden/>
              </w:rPr>
              <w:t>3</w:t>
            </w:r>
            <w:r w:rsidRPr="00A90B08">
              <w:rPr>
                <w:rFonts w:ascii="Arial" w:hAnsi="Arial" w:cs="Arial"/>
                <w:noProof/>
                <w:webHidden/>
              </w:rPr>
              <w:fldChar w:fldCharType="end"/>
            </w:r>
          </w:hyperlink>
        </w:p>
        <w:p w14:paraId="49EADA36" w14:textId="77777777" w:rsidR="00A90B08" w:rsidRPr="00A90B08" w:rsidRDefault="00A90B08" w:rsidP="00A90B08">
          <w:pPr>
            <w:rPr>
              <w:noProof/>
            </w:rPr>
          </w:pPr>
        </w:p>
        <w:p w14:paraId="23AB9D6D" w14:textId="429DCF8B" w:rsidR="00A90B08" w:rsidRDefault="00A90B08">
          <w:pPr>
            <w:pStyle w:val="TOC1"/>
            <w:tabs>
              <w:tab w:val="left" w:pos="440"/>
              <w:tab w:val="right" w:leader="dot" w:pos="9962"/>
            </w:tabs>
            <w:rPr>
              <w:rStyle w:val="Hyperlink"/>
              <w:rFonts w:ascii="Arial" w:hAnsi="Arial" w:cs="Arial"/>
              <w:noProof/>
            </w:rPr>
          </w:pPr>
          <w:hyperlink w:anchor="_Toc120843936" w:history="1">
            <w:r w:rsidRPr="00A90B08">
              <w:rPr>
                <w:rStyle w:val="Hyperlink"/>
                <w:rFonts w:ascii="Arial" w:hAnsi="Arial" w:cs="Arial"/>
                <w:b/>
                <w:bCs/>
                <w:noProof/>
              </w:rPr>
              <w:t>2.</w:t>
            </w:r>
            <w:r w:rsidRPr="00A90B08">
              <w:rPr>
                <w:rFonts w:ascii="Arial" w:hAnsi="Arial" w:cs="Arial"/>
                <w:noProof/>
              </w:rPr>
              <w:tab/>
            </w:r>
            <w:r w:rsidRPr="00A90B08">
              <w:rPr>
                <w:rStyle w:val="Hyperlink"/>
                <w:rFonts w:ascii="Arial" w:hAnsi="Arial" w:cs="Arial"/>
                <w:b/>
                <w:bCs/>
                <w:noProof/>
              </w:rPr>
              <w:t>The Proposals of the European Commission</w:t>
            </w:r>
            <w:r w:rsidRPr="00A90B08">
              <w:rPr>
                <w:rFonts w:ascii="Arial" w:hAnsi="Arial" w:cs="Arial"/>
                <w:noProof/>
                <w:webHidden/>
              </w:rPr>
              <w:tab/>
            </w:r>
            <w:r w:rsidRPr="00A90B08">
              <w:rPr>
                <w:rFonts w:ascii="Arial" w:hAnsi="Arial" w:cs="Arial"/>
                <w:noProof/>
                <w:webHidden/>
              </w:rPr>
              <w:fldChar w:fldCharType="begin"/>
            </w:r>
            <w:r w:rsidRPr="00A90B08">
              <w:rPr>
                <w:rFonts w:ascii="Arial" w:hAnsi="Arial" w:cs="Arial"/>
                <w:noProof/>
                <w:webHidden/>
              </w:rPr>
              <w:instrText xml:space="preserve"> PAGEREF _Toc120843936 \h </w:instrText>
            </w:r>
            <w:r w:rsidRPr="00A90B08">
              <w:rPr>
                <w:rFonts w:ascii="Arial" w:hAnsi="Arial" w:cs="Arial"/>
                <w:noProof/>
                <w:webHidden/>
              </w:rPr>
            </w:r>
            <w:r w:rsidRPr="00A90B08">
              <w:rPr>
                <w:rFonts w:ascii="Arial" w:hAnsi="Arial" w:cs="Arial"/>
                <w:noProof/>
                <w:webHidden/>
              </w:rPr>
              <w:fldChar w:fldCharType="separate"/>
            </w:r>
            <w:r w:rsidR="009A4286">
              <w:rPr>
                <w:rFonts w:ascii="Arial" w:hAnsi="Arial" w:cs="Arial"/>
                <w:noProof/>
                <w:webHidden/>
              </w:rPr>
              <w:t>3</w:t>
            </w:r>
            <w:r w:rsidRPr="00A90B08">
              <w:rPr>
                <w:rFonts w:ascii="Arial" w:hAnsi="Arial" w:cs="Arial"/>
                <w:noProof/>
                <w:webHidden/>
              </w:rPr>
              <w:fldChar w:fldCharType="end"/>
            </w:r>
          </w:hyperlink>
        </w:p>
        <w:p w14:paraId="1DB7C99F" w14:textId="77777777" w:rsidR="00A90B08" w:rsidRPr="00A90B08" w:rsidRDefault="00A90B08" w:rsidP="00A90B08">
          <w:pPr>
            <w:rPr>
              <w:noProof/>
            </w:rPr>
          </w:pPr>
        </w:p>
        <w:p w14:paraId="09C31FDD" w14:textId="3FC03B9B" w:rsidR="00A90B08" w:rsidRDefault="00A90B08">
          <w:pPr>
            <w:pStyle w:val="TOC1"/>
            <w:tabs>
              <w:tab w:val="left" w:pos="440"/>
              <w:tab w:val="right" w:leader="dot" w:pos="9962"/>
            </w:tabs>
            <w:rPr>
              <w:rStyle w:val="Hyperlink"/>
              <w:rFonts w:ascii="Arial" w:hAnsi="Arial" w:cs="Arial"/>
              <w:noProof/>
            </w:rPr>
          </w:pPr>
          <w:hyperlink w:anchor="_Toc120843937" w:history="1">
            <w:r w:rsidRPr="00A90B08">
              <w:rPr>
                <w:rStyle w:val="Hyperlink"/>
                <w:rFonts w:ascii="Arial" w:hAnsi="Arial" w:cs="Arial"/>
                <w:b/>
                <w:bCs/>
                <w:noProof/>
              </w:rPr>
              <w:t>3.</w:t>
            </w:r>
            <w:r w:rsidRPr="00A90B08">
              <w:rPr>
                <w:rFonts w:ascii="Arial" w:hAnsi="Arial" w:cs="Arial"/>
                <w:noProof/>
              </w:rPr>
              <w:tab/>
            </w:r>
            <w:r w:rsidRPr="00A90B08">
              <w:rPr>
                <w:rStyle w:val="Hyperlink"/>
                <w:rFonts w:ascii="Arial" w:hAnsi="Arial" w:cs="Arial"/>
                <w:b/>
                <w:bCs/>
                <w:noProof/>
              </w:rPr>
              <w:t>INSULEUR’s position</w:t>
            </w:r>
            <w:r w:rsidRPr="00A90B08">
              <w:rPr>
                <w:rFonts w:ascii="Arial" w:hAnsi="Arial" w:cs="Arial"/>
                <w:noProof/>
                <w:webHidden/>
              </w:rPr>
              <w:tab/>
            </w:r>
            <w:r w:rsidRPr="00A90B08">
              <w:rPr>
                <w:rFonts w:ascii="Arial" w:hAnsi="Arial" w:cs="Arial"/>
                <w:noProof/>
                <w:webHidden/>
              </w:rPr>
              <w:fldChar w:fldCharType="begin"/>
            </w:r>
            <w:r w:rsidRPr="00A90B08">
              <w:rPr>
                <w:rFonts w:ascii="Arial" w:hAnsi="Arial" w:cs="Arial"/>
                <w:noProof/>
                <w:webHidden/>
              </w:rPr>
              <w:instrText xml:space="preserve"> PAGEREF _Toc120843937 \h </w:instrText>
            </w:r>
            <w:r w:rsidRPr="00A90B08">
              <w:rPr>
                <w:rFonts w:ascii="Arial" w:hAnsi="Arial" w:cs="Arial"/>
                <w:noProof/>
                <w:webHidden/>
              </w:rPr>
            </w:r>
            <w:r w:rsidRPr="00A90B08">
              <w:rPr>
                <w:rFonts w:ascii="Arial" w:hAnsi="Arial" w:cs="Arial"/>
                <w:noProof/>
                <w:webHidden/>
              </w:rPr>
              <w:fldChar w:fldCharType="separate"/>
            </w:r>
            <w:r w:rsidR="009A4286">
              <w:rPr>
                <w:rFonts w:ascii="Arial" w:hAnsi="Arial" w:cs="Arial"/>
                <w:noProof/>
                <w:webHidden/>
              </w:rPr>
              <w:t>4</w:t>
            </w:r>
            <w:r w:rsidRPr="00A90B08">
              <w:rPr>
                <w:rFonts w:ascii="Arial" w:hAnsi="Arial" w:cs="Arial"/>
                <w:noProof/>
                <w:webHidden/>
              </w:rPr>
              <w:fldChar w:fldCharType="end"/>
            </w:r>
          </w:hyperlink>
        </w:p>
        <w:p w14:paraId="60C31E90" w14:textId="77777777" w:rsidR="00A90B08" w:rsidRPr="00A90B08" w:rsidRDefault="00A90B08" w:rsidP="00A90B08">
          <w:pPr>
            <w:rPr>
              <w:noProof/>
            </w:rPr>
          </w:pPr>
        </w:p>
        <w:p w14:paraId="1DAA1CC8" w14:textId="693845EC" w:rsidR="00A90B08" w:rsidRPr="00A90B08" w:rsidRDefault="00A90B08">
          <w:pPr>
            <w:pStyle w:val="TOC1"/>
            <w:tabs>
              <w:tab w:val="left" w:pos="440"/>
              <w:tab w:val="right" w:leader="dot" w:pos="9962"/>
            </w:tabs>
            <w:rPr>
              <w:rFonts w:ascii="Arial" w:hAnsi="Arial" w:cs="Arial"/>
              <w:noProof/>
            </w:rPr>
          </w:pPr>
          <w:hyperlink w:anchor="_Toc120843938" w:history="1">
            <w:r w:rsidRPr="00A90B08">
              <w:rPr>
                <w:rStyle w:val="Hyperlink"/>
                <w:rFonts w:ascii="Arial" w:hAnsi="Arial" w:cs="Arial"/>
                <w:b/>
                <w:bCs/>
                <w:noProof/>
              </w:rPr>
              <w:t>4.</w:t>
            </w:r>
            <w:r w:rsidRPr="00A90B08">
              <w:rPr>
                <w:rFonts w:ascii="Arial" w:hAnsi="Arial" w:cs="Arial"/>
                <w:noProof/>
              </w:rPr>
              <w:tab/>
            </w:r>
            <w:r w:rsidRPr="00A90B08">
              <w:rPr>
                <w:rStyle w:val="Hyperlink"/>
                <w:rFonts w:ascii="Arial" w:hAnsi="Arial" w:cs="Arial"/>
                <w:b/>
                <w:bCs/>
                <w:noProof/>
              </w:rPr>
              <w:t>CONCLUSION</w:t>
            </w:r>
            <w:r w:rsidRPr="00A90B08">
              <w:rPr>
                <w:rFonts w:ascii="Arial" w:hAnsi="Arial" w:cs="Arial"/>
                <w:noProof/>
                <w:webHidden/>
              </w:rPr>
              <w:tab/>
            </w:r>
            <w:r w:rsidRPr="00A90B08">
              <w:rPr>
                <w:rFonts w:ascii="Arial" w:hAnsi="Arial" w:cs="Arial"/>
                <w:noProof/>
                <w:webHidden/>
              </w:rPr>
              <w:fldChar w:fldCharType="begin"/>
            </w:r>
            <w:r w:rsidRPr="00A90B08">
              <w:rPr>
                <w:rFonts w:ascii="Arial" w:hAnsi="Arial" w:cs="Arial"/>
                <w:noProof/>
                <w:webHidden/>
              </w:rPr>
              <w:instrText xml:space="preserve"> PAGEREF _Toc120843938 \h </w:instrText>
            </w:r>
            <w:r w:rsidRPr="00A90B08">
              <w:rPr>
                <w:rFonts w:ascii="Arial" w:hAnsi="Arial" w:cs="Arial"/>
                <w:noProof/>
                <w:webHidden/>
              </w:rPr>
            </w:r>
            <w:r w:rsidRPr="00A90B08">
              <w:rPr>
                <w:rFonts w:ascii="Arial" w:hAnsi="Arial" w:cs="Arial"/>
                <w:noProof/>
                <w:webHidden/>
              </w:rPr>
              <w:fldChar w:fldCharType="separate"/>
            </w:r>
            <w:r w:rsidR="009A4286">
              <w:rPr>
                <w:rFonts w:ascii="Arial" w:hAnsi="Arial" w:cs="Arial"/>
                <w:noProof/>
                <w:webHidden/>
              </w:rPr>
              <w:t>5</w:t>
            </w:r>
            <w:r w:rsidRPr="00A90B08">
              <w:rPr>
                <w:rFonts w:ascii="Arial" w:hAnsi="Arial" w:cs="Arial"/>
                <w:noProof/>
                <w:webHidden/>
              </w:rPr>
              <w:fldChar w:fldCharType="end"/>
            </w:r>
          </w:hyperlink>
        </w:p>
        <w:p w14:paraId="08AE6C3F" w14:textId="062DA18C" w:rsidR="00A90B08" w:rsidRDefault="00A90B08">
          <w:r>
            <w:rPr>
              <w:b/>
              <w:bCs/>
              <w:noProof/>
            </w:rPr>
            <w:fldChar w:fldCharType="end"/>
          </w:r>
        </w:p>
      </w:sdtContent>
    </w:sdt>
    <w:p w14:paraId="1FF1ABCE" w14:textId="77777777" w:rsidR="007219F5" w:rsidRDefault="007219F5" w:rsidP="007219F5">
      <w:pPr>
        <w:pStyle w:val="Heading1"/>
        <w:pBdr>
          <w:bottom w:val="single" w:sz="4" w:space="1" w:color="auto"/>
        </w:pBdr>
        <w:rPr>
          <w:rFonts w:ascii="Arial" w:hAnsi="Arial" w:cs="Arial"/>
          <w:b/>
          <w:bCs/>
          <w:sz w:val="28"/>
          <w:szCs w:val="28"/>
        </w:rPr>
        <w:sectPr w:rsidR="007219F5" w:rsidSect="00BE75F0">
          <w:footerReference w:type="default" r:id="rId11"/>
          <w:pgSz w:w="12240" w:h="15840"/>
          <w:pgMar w:top="1560" w:right="1134" w:bottom="567" w:left="1134" w:header="720" w:footer="720" w:gutter="0"/>
          <w:cols w:space="720"/>
          <w:docGrid w:linePitch="360"/>
        </w:sectPr>
      </w:pPr>
    </w:p>
    <w:p w14:paraId="16D71C85" w14:textId="5CCA22F6" w:rsidR="005D08C7" w:rsidRPr="00706248" w:rsidRDefault="005D08C7" w:rsidP="00706248">
      <w:pPr>
        <w:pStyle w:val="Heading1"/>
        <w:numPr>
          <w:ilvl w:val="0"/>
          <w:numId w:val="4"/>
        </w:numPr>
        <w:pBdr>
          <w:bottom w:val="single" w:sz="4" w:space="1" w:color="auto"/>
        </w:pBdr>
        <w:ind w:left="567" w:hanging="567"/>
        <w:rPr>
          <w:rFonts w:ascii="Arial" w:hAnsi="Arial" w:cs="Arial"/>
          <w:b/>
          <w:bCs/>
          <w:sz w:val="28"/>
          <w:szCs w:val="28"/>
        </w:rPr>
      </w:pPr>
      <w:bookmarkStart w:id="1" w:name="_Toc120843935"/>
      <w:r w:rsidRPr="00706248">
        <w:rPr>
          <w:rFonts w:ascii="Arial" w:hAnsi="Arial" w:cs="Arial"/>
          <w:b/>
          <w:bCs/>
          <w:sz w:val="28"/>
          <w:szCs w:val="28"/>
        </w:rPr>
        <w:lastRenderedPageBreak/>
        <w:t>Preamble</w:t>
      </w:r>
      <w:bookmarkEnd w:id="1"/>
    </w:p>
    <w:p w14:paraId="1B880273" w14:textId="77777777" w:rsidR="005D08C7" w:rsidRPr="00706248" w:rsidRDefault="005D08C7" w:rsidP="00706248">
      <w:pPr>
        <w:rPr>
          <w:rFonts w:ascii="Arial" w:hAnsi="Arial" w:cs="Arial"/>
        </w:rPr>
      </w:pPr>
    </w:p>
    <w:p w14:paraId="7FB777FD" w14:textId="603EB54F" w:rsidR="00FB1853" w:rsidRPr="00706248" w:rsidRDefault="00352494" w:rsidP="00352494">
      <w:pPr>
        <w:jc w:val="both"/>
        <w:rPr>
          <w:rFonts w:ascii="Arial" w:hAnsi="Arial" w:cs="Arial"/>
        </w:rPr>
      </w:pPr>
      <w:r w:rsidRPr="00706248">
        <w:rPr>
          <w:rFonts w:ascii="Arial" w:hAnsi="Arial" w:cs="Arial"/>
        </w:rPr>
        <w:t xml:space="preserve">Given that </w:t>
      </w:r>
      <w:r w:rsidR="00FB1853" w:rsidRPr="00706248">
        <w:rPr>
          <w:rFonts w:ascii="Arial" w:hAnsi="Arial" w:cs="Arial"/>
        </w:rPr>
        <w:t>EU islands are on the front line of climate change, affected by rising sea levels, coastal erosion, warming</w:t>
      </w:r>
      <w:r w:rsidR="005405CE">
        <w:rPr>
          <w:rFonts w:ascii="Arial" w:hAnsi="Arial" w:cs="Arial"/>
        </w:rPr>
        <w:t>, loss of biodiversity</w:t>
      </w:r>
      <w:r w:rsidR="00FB1853" w:rsidRPr="00706248">
        <w:rPr>
          <w:rFonts w:ascii="Arial" w:hAnsi="Arial" w:cs="Arial"/>
        </w:rPr>
        <w:t xml:space="preserve"> and acidification of seas and oceans and the increased frequency and violence of natural disasters and the problems of desertification which can cause multiple forms of economic, social and environmental damage</w:t>
      </w:r>
      <w:r w:rsidRPr="00706248">
        <w:rPr>
          <w:rFonts w:ascii="Arial" w:hAnsi="Arial" w:cs="Arial"/>
        </w:rPr>
        <w:t>,</w:t>
      </w:r>
    </w:p>
    <w:p w14:paraId="1F17030A" w14:textId="512C9D58" w:rsidR="00630999" w:rsidRPr="00706248" w:rsidRDefault="00FD0BD2" w:rsidP="00352494">
      <w:pPr>
        <w:jc w:val="both"/>
        <w:rPr>
          <w:rFonts w:ascii="Arial" w:hAnsi="Arial" w:cs="Arial"/>
          <w:color w:val="2E74B5" w:themeColor="accent5" w:themeShade="BF"/>
        </w:rPr>
      </w:pPr>
      <w:r w:rsidRPr="00706248">
        <w:rPr>
          <w:rFonts w:ascii="Arial" w:hAnsi="Arial" w:cs="Arial"/>
          <w:color w:val="2E74B5" w:themeColor="accent5" w:themeShade="BF"/>
        </w:rPr>
        <w:t xml:space="preserve">INSULEUR </w:t>
      </w:r>
      <w:r w:rsidR="00F45046" w:rsidRPr="00706248">
        <w:rPr>
          <w:rFonts w:ascii="Arial" w:hAnsi="Arial" w:cs="Arial"/>
          <w:color w:val="2E74B5" w:themeColor="accent5" w:themeShade="BF"/>
        </w:rPr>
        <w:t xml:space="preserve">fully supports </w:t>
      </w:r>
    </w:p>
    <w:p w14:paraId="75169AD7" w14:textId="0088214B" w:rsidR="00C97DC5" w:rsidRDefault="00F45046" w:rsidP="00706248">
      <w:pPr>
        <w:pStyle w:val="ListParagraph"/>
        <w:jc w:val="both"/>
        <w:rPr>
          <w:rFonts w:ascii="Arial" w:hAnsi="Arial" w:cs="Arial"/>
        </w:rPr>
      </w:pPr>
      <w:r w:rsidRPr="00706248">
        <w:rPr>
          <w:rFonts w:ascii="Arial" w:hAnsi="Arial" w:cs="Arial"/>
        </w:rPr>
        <w:t>the long-term objectives of the EU Green Deal and the major policy revamp enabling the achievement of the EU’s climate targets</w:t>
      </w:r>
      <w:r w:rsidR="00630999" w:rsidRPr="00706248">
        <w:rPr>
          <w:rFonts w:ascii="Arial" w:hAnsi="Arial" w:cs="Arial"/>
        </w:rPr>
        <w:t xml:space="preserve"> and recognizes </w:t>
      </w:r>
      <w:r w:rsidRPr="00706248">
        <w:rPr>
          <w:rFonts w:ascii="Arial" w:hAnsi="Arial" w:cs="Arial"/>
        </w:rPr>
        <w:t xml:space="preserve">that the “Fit for 55” package is a significant step towards the acceleration of the EU’s </w:t>
      </w:r>
      <w:r w:rsidR="00630999" w:rsidRPr="00706248">
        <w:rPr>
          <w:rFonts w:ascii="Arial" w:hAnsi="Arial" w:cs="Arial"/>
        </w:rPr>
        <w:t>decarbonization</w:t>
      </w:r>
      <w:r w:rsidRPr="00706248">
        <w:rPr>
          <w:rFonts w:ascii="Arial" w:hAnsi="Arial" w:cs="Arial"/>
        </w:rPr>
        <w:t xml:space="preserve"> efforts</w:t>
      </w:r>
      <w:r w:rsidR="00630999" w:rsidRPr="00706248">
        <w:rPr>
          <w:rFonts w:ascii="Arial" w:hAnsi="Arial" w:cs="Arial"/>
        </w:rPr>
        <w:t>. INSULEUR</w:t>
      </w:r>
      <w:r w:rsidR="00FD0BD2" w:rsidRPr="00706248">
        <w:rPr>
          <w:rFonts w:ascii="Arial" w:hAnsi="Arial" w:cs="Arial"/>
        </w:rPr>
        <w:t xml:space="preserve"> </w:t>
      </w:r>
      <w:r w:rsidR="00352494" w:rsidRPr="00706248">
        <w:rPr>
          <w:rFonts w:ascii="Arial" w:hAnsi="Arial" w:cs="Arial"/>
        </w:rPr>
        <w:t xml:space="preserve">also </w:t>
      </w:r>
      <w:r w:rsidRPr="00706248">
        <w:rPr>
          <w:rFonts w:ascii="Arial" w:hAnsi="Arial" w:cs="Arial"/>
        </w:rPr>
        <w:t xml:space="preserve">acknowledges that the revision of certain aspects of the ETD </w:t>
      </w:r>
      <w:proofErr w:type="gramStart"/>
      <w:r w:rsidRPr="00706248">
        <w:rPr>
          <w:rFonts w:ascii="Arial" w:hAnsi="Arial" w:cs="Arial"/>
        </w:rPr>
        <w:t>are</w:t>
      </w:r>
      <w:proofErr w:type="gramEnd"/>
      <w:r w:rsidRPr="00706248">
        <w:rPr>
          <w:rFonts w:ascii="Arial" w:hAnsi="Arial" w:cs="Arial"/>
        </w:rPr>
        <w:t xml:space="preserve"> required to reflect technological developments that took place since its introduction in 2003, such as to account for new energy products that currently fall outside the scope of the Directive</w:t>
      </w:r>
      <w:r w:rsidR="00FD0BD2" w:rsidRPr="00706248">
        <w:rPr>
          <w:rFonts w:ascii="Arial" w:hAnsi="Arial" w:cs="Arial"/>
        </w:rPr>
        <w:t>.</w:t>
      </w:r>
    </w:p>
    <w:p w14:paraId="30123C22" w14:textId="77777777" w:rsidR="00C97DC5" w:rsidRPr="007A560A" w:rsidRDefault="00C97DC5" w:rsidP="00C97DC5">
      <w:pPr>
        <w:jc w:val="both"/>
        <w:rPr>
          <w:rFonts w:ascii="Arial" w:hAnsi="Arial" w:cs="Arial"/>
          <w:color w:val="2E74B5" w:themeColor="accent5" w:themeShade="BF"/>
        </w:rPr>
      </w:pPr>
      <w:r w:rsidRPr="007A560A">
        <w:rPr>
          <w:rFonts w:ascii="Arial" w:hAnsi="Arial" w:cs="Arial"/>
          <w:color w:val="2E74B5" w:themeColor="accent5" w:themeShade="BF"/>
        </w:rPr>
        <w:t xml:space="preserve">However, INSULEUR also </w:t>
      </w:r>
      <w:proofErr w:type="gramStart"/>
      <w:r w:rsidRPr="007A560A">
        <w:rPr>
          <w:rFonts w:ascii="Arial" w:hAnsi="Arial" w:cs="Arial"/>
          <w:color w:val="2E74B5" w:themeColor="accent5" w:themeShade="BF"/>
        </w:rPr>
        <w:t>reminds</w:t>
      </w:r>
      <w:proofErr w:type="gramEnd"/>
      <w:r w:rsidRPr="007A560A">
        <w:rPr>
          <w:rFonts w:ascii="Arial" w:hAnsi="Arial" w:cs="Arial"/>
          <w:color w:val="2E74B5" w:themeColor="accent5" w:themeShade="BF"/>
        </w:rPr>
        <w:t xml:space="preserve"> that </w:t>
      </w:r>
    </w:p>
    <w:p w14:paraId="4699ACA8" w14:textId="34D519E7" w:rsidR="00C97DC5" w:rsidRPr="007A560A" w:rsidRDefault="00C97DC5" w:rsidP="00C97DC5">
      <w:pPr>
        <w:pStyle w:val="ListParagraph"/>
        <w:numPr>
          <w:ilvl w:val="0"/>
          <w:numId w:val="1"/>
        </w:numPr>
        <w:jc w:val="both"/>
        <w:rPr>
          <w:rFonts w:ascii="Arial" w:hAnsi="Arial" w:cs="Arial"/>
        </w:rPr>
      </w:pPr>
      <w:r w:rsidRPr="007A560A">
        <w:rPr>
          <w:rFonts w:ascii="Arial" w:hAnsi="Arial" w:cs="Arial"/>
        </w:rPr>
        <w:t>Characterized in the main by a physical ‘disconnection’ from the mainland, the challenges faced by EU islands are the result of permanent conditions, such as, among</w:t>
      </w:r>
      <w:r w:rsidR="0030442B">
        <w:rPr>
          <w:rFonts w:ascii="Arial" w:hAnsi="Arial" w:cs="Arial"/>
          <w:lang w:val="mt-MT"/>
        </w:rPr>
        <w:t>st</w:t>
      </w:r>
      <w:r w:rsidRPr="007A560A">
        <w:rPr>
          <w:rFonts w:ascii="Arial" w:hAnsi="Arial" w:cs="Arial"/>
        </w:rPr>
        <w:t xml:space="preserve"> other</w:t>
      </w:r>
      <w:r w:rsidR="0030442B">
        <w:rPr>
          <w:rFonts w:ascii="Arial" w:hAnsi="Arial" w:cs="Arial"/>
          <w:lang w:val="mt-MT"/>
        </w:rPr>
        <w:t>s</w:t>
      </w:r>
      <w:r w:rsidRPr="007A560A">
        <w:rPr>
          <w:rFonts w:ascii="Arial" w:hAnsi="Arial" w:cs="Arial"/>
        </w:rPr>
        <w:t xml:space="preserve">, an </w:t>
      </w:r>
      <w:r w:rsidRPr="007A560A">
        <w:rPr>
          <w:rFonts w:ascii="Arial" w:hAnsi="Arial" w:cs="Arial"/>
          <w:b/>
          <w:bCs/>
        </w:rPr>
        <w:t>almost exclusive</w:t>
      </w:r>
      <w:r w:rsidRPr="007A560A">
        <w:rPr>
          <w:rFonts w:ascii="Arial" w:hAnsi="Arial" w:cs="Arial"/>
        </w:rPr>
        <w:t xml:space="preserve"> </w:t>
      </w:r>
      <w:r w:rsidRPr="007A560A">
        <w:rPr>
          <w:rFonts w:ascii="Arial" w:hAnsi="Arial" w:cs="Arial"/>
          <w:b/>
          <w:bCs/>
        </w:rPr>
        <w:t>dependence on maritime and air transport</w:t>
      </w:r>
      <w:r w:rsidRPr="007A560A">
        <w:rPr>
          <w:rFonts w:ascii="Arial" w:hAnsi="Arial" w:cs="Arial"/>
        </w:rPr>
        <w:t>, paired with already higher transportation costs compared to the mainland.</w:t>
      </w:r>
    </w:p>
    <w:p w14:paraId="10818DBD" w14:textId="77777777" w:rsidR="00C97DC5" w:rsidRDefault="00C97DC5" w:rsidP="00C97DC5">
      <w:pPr>
        <w:pStyle w:val="ListParagraph"/>
        <w:numPr>
          <w:ilvl w:val="0"/>
          <w:numId w:val="1"/>
        </w:numPr>
        <w:jc w:val="both"/>
        <w:rPr>
          <w:rFonts w:ascii="Arial" w:hAnsi="Arial" w:cs="Arial"/>
        </w:rPr>
      </w:pPr>
      <w:proofErr w:type="gramStart"/>
      <w:r w:rsidRPr="007A560A">
        <w:rPr>
          <w:rFonts w:ascii="Arial" w:hAnsi="Arial" w:cs="Arial"/>
        </w:rPr>
        <w:t>On account of</w:t>
      </w:r>
      <w:proofErr w:type="gramEnd"/>
      <w:r w:rsidRPr="007A560A">
        <w:rPr>
          <w:rFonts w:ascii="Arial" w:hAnsi="Arial" w:cs="Arial"/>
        </w:rPr>
        <w:t xml:space="preserve"> their insularity and other permanent structural handicaps, islands are also characterized by a lack of economic diversification, leaving </w:t>
      </w:r>
      <w:r w:rsidRPr="007A560A">
        <w:rPr>
          <w:rFonts w:ascii="Arial" w:hAnsi="Arial" w:cs="Arial"/>
          <w:b/>
          <w:bCs/>
        </w:rPr>
        <w:t>the tourism sector as the main contributor to the economic growth of EU islands</w:t>
      </w:r>
      <w:r w:rsidRPr="007A560A">
        <w:rPr>
          <w:rFonts w:ascii="Arial" w:hAnsi="Arial" w:cs="Arial"/>
        </w:rPr>
        <w:t xml:space="preserve"> in terms of income and employment while some islands are solely reliant on this sector alone.</w:t>
      </w:r>
    </w:p>
    <w:p w14:paraId="70637889" w14:textId="5AC35728" w:rsidR="00B50458" w:rsidRDefault="00B50458" w:rsidP="00B50458">
      <w:pPr>
        <w:jc w:val="both"/>
        <w:rPr>
          <w:rFonts w:ascii="Arial" w:hAnsi="Arial" w:cs="Arial"/>
        </w:rPr>
      </w:pPr>
      <w:r>
        <w:rPr>
          <w:rFonts w:ascii="Arial" w:hAnsi="Arial" w:cs="Arial"/>
        </w:rPr>
        <w:t xml:space="preserve">As indicated by the report </w:t>
      </w:r>
      <w:r w:rsidR="00FF5B6E">
        <w:rPr>
          <w:rFonts w:ascii="Arial" w:hAnsi="Arial" w:cs="Arial"/>
        </w:rPr>
        <w:t xml:space="preserve">approved by the European Parliament on </w:t>
      </w:r>
      <w:r w:rsidR="00BA3CB6">
        <w:rPr>
          <w:rFonts w:ascii="Arial" w:hAnsi="Arial" w:cs="Arial"/>
        </w:rPr>
        <w:t>“EU islands and cohesion policy: current situation and future challenges</w:t>
      </w:r>
      <w:r w:rsidR="00C003E8">
        <w:rPr>
          <w:rFonts w:ascii="Arial" w:hAnsi="Arial" w:cs="Arial"/>
        </w:rPr>
        <w:t>” (2022) approved by the European Parliament</w:t>
      </w:r>
      <w:r w:rsidR="007C697B">
        <w:rPr>
          <w:rFonts w:ascii="Arial" w:hAnsi="Arial" w:cs="Arial"/>
        </w:rPr>
        <w:t>:</w:t>
      </w:r>
    </w:p>
    <w:p w14:paraId="20DD1257" w14:textId="1D4E0CAE" w:rsidR="007C697B" w:rsidRDefault="007C697B" w:rsidP="007C697B">
      <w:pPr>
        <w:autoSpaceDE w:val="0"/>
        <w:autoSpaceDN w:val="0"/>
        <w:adjustRightInd w:val="0"/>
        <w:spacing w:after="0" w:line="240" w:lineRule="auto"/>
        <w:ind w:left="720"/>
        <w:jc w:val="both"/>
        <w:rPr>
          <w:rFonts w:ascii="Arial" w:hAnsi="Arial" w:cs="Arial"/>
          <w:sz w:val="20"/>
          <w:szCs w:val="20"/>
        </w:rPr>
      </w:pPr>
      <w:r w:rsidRPr="007C697B">
        <w:rPr>
          <w:rFonts w:ascii="Arial" w:hAnsi="Arial" w:cs="Arial"/>
          <w:sz w:val="20"/>
          <w:szCs w:val="20"/>
          <w:lang/>
        </w:rPr>
        <w:t>islands often suffer from a combination of multiple and permanent natural</w:t>
      </w:r>
      <w:r>
        <w:rPr>
          <w:rFonts w:ascii="Arial" w:hAnsi="Arial" w:cs="Arial"/>
          <w:sz w:val="20"/>
          <w:szCs w:val="20"/>
        </w:rPr>
        <w:t xml:space="preserve"> </w:t>
      </w:r>
      <w:r w:rsidRPr="007C697B">
        <w:rPr>
          <w:rFonts w:ascii="Arial" w:hAnsi="Arial" w:cs="Arial"/>
          <w:sz w:val="20"/>
          <w:szCs w:val="20"/>
          <w:lang/>
        </w:rPr>
        <w:t>handicaps such as small size, for most part low population density, demographic</w:t>
      </w:r>
      <w:r>
        <w:rPr>
          <w:rFonts w:ascii="Arial" w:hAnsi="Arial" w:cs="Arial"/>
          <w:sz w:val="20"/>
          <w:szCs w:val="20"/>
        </w:rPr>
        <w:t xml:space="preserve"> </w:t>
      </w:r>
      <w:r w:rsidRPr="007C697B">
        <w:rPr>
          <w:rFonts w:ascii="Arial" w:hAnsi="Arial" w:cs="Arial"/>
          <w:sz w:val="20"/>
          <w:szCs w:val="20"/>
          <w:lang/>
        </w:rPr>
        <w:t>challenges such as seasonal demographic pressure, small markets, double insularity</w:t>
      </w:r>
      <w:r>
        <w:rPr>
          <w:rFonts w:ascii="Arial" w:hAnsi="Arial" w:cs="Arial"/>
          <w:sz w:val="20"/>
          <w:szCs w:val="20"/>
        </w:rPr>
        <w:t xml:space="preserve"> </w:t>
      </w:r>
      <w:r w:rsidRPr="007C697B">
        <w:rPr>
          <w:rFonts w:ascii="Arial" w:hAnsi="Arial" w:cs="Arial"/>
          <w:sz w:val="20"/>
          <w:szCs w:val="20"/>
          <w:lang/>
        </w:rPr>
        <w:t>(island and archipelago), difficult topography very similar to that of mountainous</w:t>
      </w:r>
      <w:r>
        <w:rPr>
          <w:rFonts w:ascii="Arial" w:hAnsi="Arial" w:cs="Arial"/>
          <w:sz w:val="20"/>
          <w:szCs w:val="20"/>
        </w:rPr>
        <w:t xml:space="preserve"> </w:t>
      </w:r>
      <w:r w:rsidRPr="007C697B">
        <w:rPr>
          <w:rFonts w:ascii="Arial" w:hAnsi="Arial" w:cs="Arial"/>
          <w:sz w:val="20"/>
          <w:szCs w:val="20"/>
          <w:lang/>
        </w:rPr>
        <w:t>regions, dependence on maritime and air transport and dependence on a small number</w:t>
      </w:r>
      <w:r>
        <w:rPr>
          <w:rFonts w:ascii="Arial" w:hAnsi="Arial" w:cs="Arial"/>
          <w:sz w:val="20"/>
          <w:szCs w:val="20"/>
        </w:rPr>
        <w:t xml:space="preserve"> </w:t>
      </w:r>
      <w:r w:rsidRPr="007C697B">
        <w:rPr>
          <w:rFonts w:ascii="Arial" w:hAnsi="Arial" w:cs="Arial"/>
          <w:sz w:val="20"/>
          <w:szCs w:val="20"/>
          <w:lang/>
        </w:rPr>
        <w:t>of products</w:t>
      </w:r>
      <w:r>
        <w:rPr>
          <w:rFonts w:ascii="Arial" w:hAnsi="Arial" w:cs="Arial"/>
          <w:sz w:val="20"/>
          <w:szCs w:val="20"/>
        </w:rPr>
        <w:t>.</w:t>
      </w:r>
      <w:r w:rsidR="00B42145">
        <w:rPr>
          <w:rStyle w:val="FootnoteReference"/>
          <w:rFonts w:ascii="Arial" w:hAnsi="Arial" w:cs="Arial"/>
          <w:sz w:val="20"/>
          <w:szCs w:val="20"/>
        </w:rPr>
        <w:footnoteReference w:id="1"/>
      </w:r>
    </w:p>
    <w:p w14:paraId="04627752" w14:textId="77777777" w:rsidR="007C697B" w:rsidRDefault="007C697B" w:rsidP="007C697B">
      <w:pPr>
        <w:autoSpaceDE w:val="0"/>
        <w:autoSpaceDN w:val="0"/>
        <w:adjustRightInd w:val="0"/>
        <w:spacing w:after="0" w:line="240" w:lineRule="auto"/>
        <w:ind w:left="720"/>
        <w:jc w:val="both"/>
        <w:rPr>
          <w:rFonts w:ascii="Arial" w:hAnsi="Arial" w:cs="Arial"/>
          <w:sz w:val="20"/>
          <w:szCs w:val="20"/>
        </w:rPr>
      </w:pPr>
    </w:p>
    <w:p w14:paraId="12B5BEF7" w14:textId="240C7499" w:rsidR="007C697B" w:rsidRPr="007C697B" w:rsidRDefault="007C697B" w:rsidP="007C697B">
      <w:pPr>
        <w:autoSpaceDE w:val="0"/>
        <w:autoSpaceDN w:val="0"/>
        <w:adjustRightInd w:val="0"/>
        <w:spacing w:after="0" w:line="240" w:lineRule="auto"/>
        <w:jc w:val="both"/>
        <w:rPr>
          <w:rFonts w:ascii="Arial" w:hAnsi="Arial" w:cs="Arial"/>
        </w:rPr>
      </w:pPr>
      <w:r>
        <w:rPr>
          <w:rFonts w:ascii="Arial" w:hAnsi="Arial" w:cs="Arial"/>
        </w:rPr>
        <w:t xml:space="preserve">It is within this context that INSULEUR is </w:t>
      </w:r>
      <w:r w:rsidR="00A24D6B">
        <w:rPr>
          <w:rFonts w:ascii="Arial" w:hAnsi="Arial" w:cs="Arial"/>
        </w:rPr>
        <w:t>formulating</w:t>
      </w:r>
      <w:r>
        <w:rPr>
          <w:rFonts w:ascii="Arial" w:hAnsi="Arial" w:cs="Arial"/>
        </w:rPr>
        <w:t xml:space="preserve"> </w:t>
      </w:r>
      <w:r w:rsidR="006F3E9A">
        <w:rPr>
          <w:rFonts w:ascii="Arial" w:hAnsi="Arial" w:cs="Arial"/>
        </w:rPr>
        <w:t>its position and</w:t>
      </w:r>
      <w:r w:rsidR="00A24D6B">
        <w:rPr>
          <w:rFonts w:ascii="Arial" w:hAnsi="Arial" w:cs="Arial"/>
        </w:rPr>
        <w:t xml:space="preserve"> putting forward its</w:t>
      </w:r>
      <w:r w:rsidR="006F3E9A">
        <w:rPr>
          <w:rFonts w:ascii="Arial" w:hAnsi="Arial" w:cs="Arial"/>
        </w:rPr>
        <w:t xml:space="preserve"> proposals on the revision of the Energy Tax Directive.</w:t>
      </w:r>
    </w:p>
    <w:p w14:paraId="7A61EF94" w14:textId="77777777" w:rsidR="00F508D0" w:rsidRPr="00706248" w:rsidRDefault="00F508D0" w:rsidP="00706248">
      <w:pPr>
        <w:jc w:val="both"/>
        <w:rPr>
          <w:rFonts w:ascii="Arial" w:hAnsi="Arial" w:cs="Arial"/>
        </w:rPr>
      </w:pPr>
    </w:p>
    <w:p w14:paraId="38DAE345" w14:textId="78CF0151" w:rsidR="00352494" w:rsidRPr="00706248" w:rsidRDefault="00F508D0" w:rsidP="00706248">
      <w:pPr>
        <w:pStyle w:val="Heading1"/>
        <w:numPr>
          <w:ilvl w:val="0"/>
          <w:numId w:val="4"/>
        </w:numPr>
        <w:pBdr>
          <w:bottom w:val="single" w:sz="4" w:space="1" w:color="auto"/>
        </w:pBdr>
        <w:ind w:left="567" w:hanging="567"/>
        <w:rPr>
          <w:rFonts w:ascii="Arial" w:hAnsi="Arial" w:cs="Arial"/>
          <w:b/>
          <w:bCs/>
          <w:sz w:val="28"/>
          <w:szCs w:val="28"/>
        </w:rPr>
      </w:pPr>
      <w:bookmarkStart w:id="2" w:name="_Toc120843936"/>
      <w:r w:rsidRPr="00706248">
        <w:rPr>
          <w:rFonts w:ascii="Arial" w:hAnsi="Arial" w:cs="Arial"/>
          <w:b/>
          <w:bCs/>
          <w:sz w:val="28"/>
          <w:szCs w:val="28"/>
        </w:rPr>
        <w:t>The Proposals of the European Commission</w:t>
      </w:r>
      <w:bookmarkEnd w:id="2"/>
    </w:p>
    <w:p w14:paraId="0AF3D283" w14:textId="77777777" w:rsidR="00F508D0" w:rsidRDefault="00F508D0" w:rsidP="00F508D0"/>
    <w:p w14:paraId="4ECB0DFA" w14:textId="71D9481B" w:rsidR="007219F5" w:rsidRDefault="007219F5" w:rsidP="007219F5">
      <w:pPr>
        <w:jc w:val="both"/>
        <w:rPr>
          <w:rFonts w:ascii="Arial" w:hAnsi="Arial" w:cs="Arial"/>
          <w:lang w:val="mt-MT"/>
        </w:rPr>
      </w:pPr>
      <w:r>
        <w:rPr>
          <w:rFonts w:ascii="Arial" w:hAnsi="Arial" w:cs="Arial"/>
          <w:lang w:val="mt-MT"/>
        </w:rPr>
        <w:t>The European Commission is proposing that:</w:t>
      </w:r>
    </w:p>
    <w:p w14:paraId="5EE41785" w14:textId="084F144A" w:rsidR="007219F5" w:rsidRPr="00845F10" w:rsidRDefault="007219F5" w:rsidP="007219F5">
      <w:pPr>
        <w:pStyle w:val="ListParagraph"/>
        <w:numPr>
          <w:ilvl w:val="0"/>
          <w:numId w:val="5"/>
        </w:numPr>
        <w:spacing w:after="0" w:line="240" w:lineRule="auto"/>
        <w:jc w:val="both"/>
        <w:rPr>
          <w:rFonts w:ascii="Arial" w:hAnsi="Arial" w:cs="Arial"/>
          <w:lang/>
        </w:rPr>
      </w:pPr>
      <w:proofErr w:type="gramStart"/>
      <w:r w:rsidRPr="00845F10">
        <w:rPr>
          <w:rFonts w:ascii="Arial" w:hAnsi="Arial" w:cs="Arial"/>
        </w:rPr>
        <w:t>Kerosene</w:t>
      </w:r>
      <w:proofErr w:type="gramEnd"/>
      <w:r w:rsidRPr="00845F10">
        <w:rPr>
          <w:rFonts w:ascii="Arial" w:hAnsi="Arial" w:cs="Arial"/>
        </w:rPr>
        <w:t xml:space="preserve"> which is used as fuel in the aviation industry</w:t>
      </w:r>
      <w:r>
        <w:rPr>
          <w:rFonts w:ascii="Arial" w:hAnsi="Arial" w:cs="Arial"/>
        </w:rPr>
        <w:t>, and heavy fuel oil which is used in the maritime industry</w:t>
      </w:r>
      <w:r w:rsidRPr="00845F10">
        <w:rPr>
          <w:rFonts w:ascii="Arial" w:hAnsi="Arial" w:cs="Arial"/>
        </w:rPr>
        <w:t xml:space="preserve"> will no longer be fully exempt from energy taxation for intra-EU voyages in the EU</w:t>
      </w:r>
      <w:r>
        <w:rPr>
          <w:rFonts w:ascii="Arial" w:hAnsi="Arial" w:cs="Arial"/>
        </w:rPr>
        <w:t>; and that</w:t>
      </w:r>
    </w:p>
    <w:p w14:paraId="7F38ED62" w14:textId="6F673223" w:rsidR="007219F5" w:rsidRDefault="007219F5" w:rsidP="007219F5">
      <w:pPr>
        <w:pStyle w:val="ListParagraph"/>
        <w:numPr>
          <w:ilvl w:val="0"/>
          <w:numId w:val="5"/>
        </w:numPr>
        <w:jc w:val="both"/>
      </w:pPr>
      <w:r w:rsidRPr="007219F5">
        <w:rPr>
          <w:rFonts w:ascii="Arial" w:hAnsi="Arial" w:cs="Arial"/>
        </w:rPr>
        <w:lastRenderedPageBreak/>
        <w:t>Over a period of ten years, the minimum tax rates for these fuels will gradually increase while sustainable fuels for these sectors will benefit from a minimum rate of zero to foster their uptake</w:t>
      </w:r>
    </w:p>
    <w:p w14:paraId="1B9E105D" w14:textId="77777777" w:rsidR="00352494" w:rsidRPr="00706248" w:rsidRDefault="00352494" w:rsidP="00352494">
      <w:pPr>
        <w:jc w:val="both"/>
        <w:rPr>
          <w:rFonts w:ascii="Arial" w:hAnsi="Arial" w:cs="Arial"/>
          <w:color w:val="2E74B5" w:themeColor="accent5" w:themeShade="BF"/>
        </w:rPr>
      </w:pPr>
    </w:p>
    <w:p w14:paraId="612C8082" w14:textId="2ACC1868" w:rsidR="00E97237" w:rsidRPr="00706248" w:rsidRDefault="00C53560" w:rsidP="00706248">
      <w:pPr>
        <w:pStyle w:val="Heading1"/>
        <w:numPr>
          <w:ilvl w:val="0"/>
          <w:numId w:val="4"/>
        </w:numPr>
        <w:pBdr>
          <w:bottom w:val="single" w:sz="4" w:space="1" w:color="auto"/>
        </w:pBdr>
        <w:ind w:left="567" w:hanging="567"/>
        <w:rPr>
          <w:rFonts w:ascii="Arial" w:hAnsi="Arial" w:cs="Arial"/>
          <w:b/>
          <w:bCs/>
          <w:sz w:val="28"/>
          <w:szCs w:val="28"/>
        </w:rPr>
      </w:pPr>
      <w:bookmarkStart w:id="3" w:name="_Toc120843937"/>
      <w:r w:rsidRPr="00706248">
        <w:rPr>
          <w:rFonts w:ascii="Arial" w:hAnsi="Arial" w:cs="Arial"/>
          <w:b/>
          <w:bCs/>
          <w:sz w:val="28"/>
          <w:szCs w:val="28"/>
        </w:rPr>
        <w:t>INSULEUR’s position</w:t>
      </w:r>
      <w:bookmarkEnd w:id="3"/>
    </w:p>
    <w:p w14:paraId="31A21582" w14:textId="77777777" w:rsidR="00C53560" w:rsidRDefault="00C53560" w:rsidP="00352494">
      <w:pPr>
        <w:jc w:val="both"/>
        <w:rPr>
          <w:rFonts w:ascii="Arial" w:hAnsi="Arial" w:cs="Arial"/>
        </w:rPr>
      </w:pPr>
    </w:p>
    <w:p w14:paraId="4D1ABDB0" w14:textId="77777777" w:rsidR="00910E23" w:rsidRDefault="00F46086" w:rsidP="00352494">
      <w:pPr>
        <w:jc w:val="both"/>
        <w:rPr>
          <w:rFonts w:ascii="Arial" w:hAnsi="Arial" w:cs="Arial"/>
        </w:rPr>
      </w:pPr>
      <w:r w:rsidRPr="00706248">
        <w:rPr>
          <w:rFonts w:ascii="Arial" w:hAnsi="Arial" w:cs="Arial"/>
        </w:rPr>
        <w:t xml:space="preserve">Articles 14 and 15 of the ETD Commission proposal revoking the tax exemption on aviation and marine fuels will </w:t>
      </w:r>
      <w:r w:rsidR="00E97237" w:rsidRPr="00706248">
        <w:rPr>
          <w:rFonts w:ascii="Arial" w:hAnsi="Arial" w:cs="Arial"/>
        </w:rPr>
        <w:t>increase</w:t>
      </w:r>
      <w:r w:rsidRPr="00706248">
        <w:rPr>
          <w:rFonts w:ascii="Arial" w:hAnsi="Arial" w:cs="Arial"/>
        </w:rPr>
        <w:t xml:space="preserve"> the</w:t>
      </w:r>
      <w:r w:rsidR="00E97237" w:rsidRPr="00706248">
        <w:rPr>
          <w:rFonts w:ascii="Arial" w:hAnsi="Arial" w:cs="Arial"/>
        </w:rPr>
        <w:t xml:space="preserve"> fuel costs on the part of the air </w:t>
      </w:r>
      <w:r w:rsidRPr="00706248">
        <w:rPr>
          <w:rFonts w:ascii="Arial" w:hAnsi="Arial" w:cs="Arial"/>
        </w:rPr>
        <w:t xml:space="preserve">and maritime </w:t>
      </w:r>
      <w:r w:rsidR="00E97237" w:rsidRPr="00706248">
        <w:rPr>
          <w:rFonts w:ascii="Arial" w:hAnsi="Arial" w:cs="Arial"/>
        </w:rPr>
        <w:t>carrier</w:t>
      </w:r>
      <w:r w:rsidRPr="00706248">
        <w:rPr>
          <w:rFonts w:ascii="Arial" w:hAnsi="Arial" w:cs="Arial"/>
        </w:rPr>
        <w:t>s</w:t>
      </w:r>
      <w:r w:rsidR="00E97237" w:rsidRPr="00706248">
        <w:rPr>
          <w:rFonts w:ascii="Arial" w:hAnsi="Arial" w:cs="Arial"/>
        </w:rPr>
        <w:t xml:space="preserve"> </w:t>
      </w:r>
      <w:r w:rsidRPr="00706248">
        <w:rPr>
          <w:rFonts w:ascii="Arial" w:hAnsi="Arial" w:cs="Arial"/>
        </w:rPr>
        <w:t>and</w:t>
      </w:r>
      <w:r w:rsidR="00E97237" w:rsidRPr="00706248">
        <w:rPr>
          <w:rFonts w:ascii="Arial" w:hAnsi="Arial" w:cs="Arial"/>
        </w:rPr>
        <w:t xml:space="preserve"> will have a significant impact on the</w:t>
      </w:r>
      <w:r w:rsidR="004C4204" w:rsidRPr="00706248">
        <w:rPr>
          <w:rFonts w:ascii="Arial" w:hAnsi="Arial" w:cs="Arial"/>
        </w:rPr>
        <w:t>ir</w:t>
      </w:r>
      <w:r w:rsidR="00E97237" w:rsidRPr="00706248">
        <w:rPr>
          <w:rFonts w:ascii="Arial" w:hAnsi="Arial" w:cs="Arial"/>
        </w:rPr>
        <w:t xml:space="preserve"> </w:t>
      </w:r>
      <w:r w:rsidR="00776CEA" w:rsidRPr="00706248">
        <w:rPr>
          <w:rFonts w:ascii="Arial" w:hAnsi="Arial" w:cs="Arial"/>
        </w:rPr>
        <w:t xml:space="preserve">transport and </w:t>
      </w:r>
      <w:r w:rsidRPr="00706248">
        <w:rPr>
          <w:rFonts w:ascii="Arial" w:hAnsi="Arial" w:cs="Arial"/>
        </w:rPr>
        <w:t>services</w:t>
      </w:r>
      <w:r w:rsidR="00E97237" w:rsidRPr="00706248">
        <w:rPr>
          <w:rFonts w:ascii="Arial" w:hAnsi="Arial" w:cs="Arial"/>
        </w:rPr>
        <w:t xml:space="preserve"> prices</w:t>
      </w:r>
      <w:r w:rsidR="00535330">
        <w:rPr>
          <w:rFonts w:ascii="Arial" w:hAnsi="Arial" w:cs="Arial"/>
        </w:rPr>
        <w:t xml:space="preserve"> of these respective sectors</w:t>
      </w:r>
      <w:r w:rsidRPr="00706248">
        <w:rPr>
          <w:rFonts w:ascii="Arial" w:hAnsi="Arial" w:cs="Arial"/>
        </w:rPr>
        <w:t>. C</w:t>
      </w:r>
      <w:r w:rsidR="00E97237" w:rsidRPr="00706248">
        <w:rPr>
          <w:rFonts w:ascii="Arial" w:hAnsi="Arial" w:cs="Arial"/>
        </w:rPr>
        <w:t>onsequently, this</w:t>
      </w:r>
      <w:r w:rsidR="003661C6">
        <w:rPr>
          <w:rFonts w:ascii="Arial" w:hAnsi="Arial" w:cs="Arial"/>
        </w:rPr>
        <w:t xml:space="preserve"> </w:t>
      </w:r>
      <w:r w:rsidR="00E97237" w:rsidRPr="00706248">
        <w:rPr>
          <w:rFonts w:ascii="Arial" w:hAnsi="Arial" w:cs="Arial"/>
        </w:rPr>
        <w:t xml:space="preserve">will contribute to </w:t>
      </w:r>
      <w:r w:rsidR="00CD60BE" w:rsidRPr="00706248">
        <w:rPr>
          <w:rFonts w:ascii="Arial" w:hAnsi="Arial" w:cs="Arial"/>
        </w:rPr>
        <w:t xml:space="preserve">the </w:t>
      </w:r>
      <w:r w:rsidR="00E97237" w:rsidRPr="00706248">
        <w:rPr>
          <w:rFonts w:ascii="Arial" w:hAnsi="Arial" w:cs="Arial"/>
        </w:rPr>
        <w:t>reduction of the demand for air travel among passengers</w:t>
      </w:r>
      <w:r w:rsidR="004C4204" w:rsidRPr="00706248">
        <w:rPr>
          <w:rFonts w:ascii="Arial" w:hAnsi="Arial" w:cs="Arial"/>
        </w:rPr>
        <w:t xml:space="preserve"> to EU islands</w:t>
      </w:r>
      <w:r w:rsidR="004C4204" w:rsidRPr="00706248">
        <w:rPr>
          <w:rStyle w:val="FootnoteReference"/>
          <w:rFonts w:ascii="Arial" w:hAnsi="Arial" w:cs="Arial"/>
        </w:rPr>
        <w:footnoteReference w:id="2"/>
      </w:r>
      <w:r w:rsidR="00E97237" w:rsidRPr="00706248">
        <w:rPr>
          <w:rFonts w:ascii="Arial" w:hAnsi="Arial" w:cs="Arial"/>
        </w:rPr>
        <w:t xml:space="preserve">, and </w:t>
      </w:r>
      <w:r w:rsidR="004C4204" w:rsidRPr="00706248">
        <w:rPr>
          <w:rFonts w:ascii="Arial" w:hAnsi="Arial" w:cs="Arial"/>
        </w:rPr>
        <w:t>therefore</w:t>
      </w:r>
      <w:r w:rsidR="003661C6">
        <w:rPr>
          <w:rFonts w:ascii="Arial" w:hAnsi="Arial" w:cs="Arial"/>
        </w:rPr>
        <w:t xml:space="preserve"> have a significant negative impact</w:t>
      </w:r>
      <w:r w:rsidR="004C4204" w:rsidRPr="00706248">
        <w:rPr>
          <w:rFonts w:ascii="Arial" w:hAnsi="Arial" w:cs="Arial"/>
        </w:rPr>
        <w:t xml:space="preserve"> </w:t>
      </w:r>
      <w:r w:rsidRPr="00706248">
        <w:rPr>
          <w:rFonts w:ascii="Arial" w:hAnsi="Arial" w:cs="Arial"/>
        </w:rPr>
        <w:t>on</w:t>
      </w:r>
      <w:r w:rsidR="00201863" w:rsidRPr="00706248">
        <w:rPr>
          <w:rFonts w:ascii="Arial" w:hAnsi="Arial" w:cs="Arial"/>
          <w:b/>
          <w:bCs/>
        </w:rPr>
        <w:t xml:space="preserve"> </w:t>
      </w:r>
      <w:r w:rsidR="00201863" w:rsidRPr="00706248">
        <w:rPr>
          <w:rFonts w:ascii="Arial" w:hAnsi="Arial" w:cs="Arial"/>
        </w:rPr>
        <w:t xml:space="preserve">EU </w:t>
      </w:r>
      <w:proofErr w:type="gramStart"/>
      <w:r w:rsidR="00201863" w:rsidRPr="00706248">
        <w:rPr>
          <w:rFonts w:ascii="Arial" w:hAnsi="Arial" w:cs="Arial"/>
        </w:rPr>
        <w:t>islands</w:t>
      </w:r>
      <w:proofErr w:type="gramEnd"/>
      <w:r w:rsidR="00201863" w:rsidRPr="00706248">
        <w:rPr>
          <w:rFonts w:ascii="Arial" w:hAnsi="Arial" w:cs="Arial"/>
        </w:rPr>
        <w:t xml:space="preserve"> economies </w:t>
      </w:r>
      <w:r w:rsidR="00E97237" w:rsidRPr="00706248">
        <w:rPr>
          <w:rFonts w:ascii="Arial" w:hAnsi="Arial" w:cs="Arial"/>
        </w:rPr>
        <w:t>and</w:t>
      </w:r>
      <w:r w:rsidR="00201863" w:rsidRPr="00706248">
        <w:rPr>
          <w:rFonts w:ascii="Arial" w:hAnsi="Arial" w:cs="Arial"/>
        </w:rPr>
        <w:t xml:space="preserve"> competitiveness</w:t>
      </w:r>
      <w:r w:rsidR="00352494" w:rsidRPr="00706248">
        <w:rPr>
          <w:rFonts w:ascii="Arial" w:hAnsi="Arial" w:cs="Arial"/>
        </w:rPr>
        <w:t>,</w:t>
      </w:r>
      <w:r w:rsidR="00F3452F" w:rsidRPr="00706248">
        <w:rPr>
          <w:rFonts w:ascii="Arial" w:hAnsi="Arial" w:cs="Arial"/>
        </w:rPr>
        <w:t xml:space="preserve"> given their tourism related dependency</w:t>
      </w:r>
      <w:r w:rsidR="00E67801" w:rsidRPr="00706248">
        <w:rPr>
          <w:rFonts w:ascii="Arial" w:hAnsi="Arial" w:cs="Arial"/>
        </w:rPr>
        <w:t>.</w:t>
      </w:r>
      <w:r w:rsidR="00D7398A" w:rsidRPr="00706248">
        <w:rPr>
          <w:rFonts w:ascii="Arial" w:hAnsi="Arial" w:cs="Arial"/>
        </w:rPr>
        <w:t xml:space="preserve">  </w:t>
      </w:r>
    </w:p>
    <w:p w14:paraId="69870775" w14:textId="4C37AA70" w:rsidR="004C4204" w:rsidRPr="00706248" w:rsidRDefault="00D7398A" w:rsidP="00352494">
      <w:pPr>
        <w:jc w:val="both"/>
        <w:rPr>
          <w:rFonts w:ascii="Arial" w:hAnsi="Arial" w:cs="Arial"/>
        </w:rPr>
      </w:pPr>
      <w:r w:rsidRPr="00706248">
        <w:rPr>
          <w:rFonts w:ascii="Arial" w:hAnsi="Arial" w:cs="Arial"/>
        </w:rPr>
        <w:t>It will also limit the freedom of movement of people living on islands</w:t>
      </w:r>
      <w:r w:rsidR="00006C33" w:rsidRPr="00706248">
        <w:rPr>
          <w:rFonts w:ascii="Arial" w:hAnsi="Arial" w:cs="Arial"/>
        </w:rPr>
        <w:t xml:space="preserve"> as they do not have access to alternative forms of transport such as road and rail.  </w:t>
      </w:r>
      <w:r w:rsidR="00927AC1" w:rsidRPr="00706248">
        <w:rPr>
          <w:rFonts w:ascii="Arial" w:hAnsi="Arial" w:cs="Arial"/>
        </w:rPr>
        <w:t xml:space="preserve">  Since the </w:t>
      </w:r>
      <w:r w:rsidR="00F3452F" w:rsidRPr="00706248">
        <w:rPr>
          <w:rFonts w:ascii="Arial" w:hAnsi="Arial" w:cs="Arial"/>
        </w:rPr>
        <w:t xml:space="preserve">maritime carriers </w:t>
      </w:r>
      <w:proofErr w:type="gramStart"/>
      <w:r w:rsidR="00F3452F" w:rsidRPr="00706248">
        <w:rPr>
          <w:rFonts w:ascii="Arial" w:hAnsi="Arial" w:cs="Arial"/>
        </w:rPr>
        <w:t>having</w:t>
      </w:r>
      <w:proofErr w:type="gramEnd"/>
      <w:r w:rsidR="00F3452F" w:rsidRPr="00706248">
        <w:rPr>
          <w:rFonts w:ascii="Arial" w:hAnsi="Arial" w:cs="Arial"/>
        </w:rPr>
        <w:t xml:space="preserve"> an equally strategic role </w:t>
      </w:r>
      <w:r w:rsidR="00F46086" w:rsidRPr="00706248">
        <w:rPr>
          <w:rFonts w:ascii="Arial" w:hAnsi="Arial" w:cs="Arial"/>
        </w:rPr>
        <w:t xml:space="preserve">for the EU islands’ economic resilience, it </w:t>
      </w:r>
      <w:r w:rsidR="00F3452F" w:rsidRPr="00706248">
        <w:rPr>
          <w:rFonts w:ascii="Arial" w:hAnsi="Arial" w:cs="Arial"/>
        </w:rPr>
        <w:t xml:space="preserve">is also </w:t>
      </w:r>
      <w:r w:rsidR="00F46086" w:rsidRPr="00706248">
        <w:rPr>
          <w:rFonts w:ascii="Arial" w:hAnsi="Arial" w:cs="Arial"/>
        </w:rPr>
        <w:t xml:space="preserve">crucial for </w:t>
      </w:r>
      <w:r w:rsidR="00F3452F" w:rsidRPr="00706248">
        <w:rPr>
          <w:rFonts w:ascii="Arial" w:hAnsi="Arial" w:cs="Arial"/>
        </w:rPr>
        <w:t xml:space="preserve">marine transport </w:t>
      </w:r>
      <w:r w:rsidR="00F46086" w:rsidRPr="00706248">
        <w:rPr>
          <w:rFonts w:ascii="Arial" w:hAnsi="Arial" w:cs="Arial"/>
        </w:rPr>
        <w:t>operators to provid</w:t>
      </w:r>
      <w:r w:rsidR="00776CEA" w:rsidRPr="00706248">
        <w:rPr>
          <w:rFonts w:ascii="Arial" w:hAnsi="Arial" w:cs="Arial"/>
        </w:rPr>
        <w:t>e</w:t>
      </w:r>
      <w:r w:rsidR="00F46086" w:rsidRPr="00706248">
        <w:rPr>
          <w:rFonts w:ascii="Arial" w:hAnsi="Arial" w:cs="Arial"/>
        </w:rPr>
        <w:t xml:space="preserve"> services at a price that is competitive and affordable.</w:t>
      </w:r>
      <w:r w:rsidR="00006C33" w:rsidRPr="00706248">
        <w:rPr>
          <w:rFonts w:ascii="Arial" w:hAnsi="Arial" w:cs="Arial"/>
        </w:rPr>
        <w:t xml:space="preserve">  This means that </w:t>
      </w:r>
      <w:proofErr w:type="gramStart"/>
      <w:r w:rsidR="00910E23">
        <w:rPr>
          <w:rFonts w:ascii="Arial" w:hAnsi="Arial" w:cs="Arial"/>
        </w:rPr>
        <w:t>overall</w:t>
      </w:r>
      <w:proofErr w:type="gramEnd"/>
      <w:r w:rsidR="00910E23">
        <w:rPr>
          <w:rFonts w:ascii="Arial" w:hAnsi="Arial" w:cs="Arial"/>
        </w:rPr>
        <w:t xml:space="preserve"> </w:t>
      </w:r>
      <w:r w:rsidR="00006C33" w:rsidRPr="00706248">
        <w:rPr>
          <w:rFonts w:ascii="Arial" w:hAnsi="Arial" w:cs="Arial"/>
        </w:rPr>
        <w:t xml:space="preserve">the proposed taxation regime will have a </w:t>
      </w:r>
      <w:r w:rsidR="00AB25AE" w:rsidRPr="00706248">
        <w:rPr>
          <w:rFonts w:ascii="Arial" w:hAnsi="Arial" w:cs="Arial"/>
        </w:rPr>
        <w:t>discriminatory</w:t>
      </w:r>
      <w:r w:rsidR="007B0A46" w:rsidRPr="00706248">
        <w:rPr>
          <w:rFonts w:ascii="Arial" w:hAnsi="Arial" w:cs="Arial"/>
        </w:rPr>
        <w:t xml:space="preserve"> effect for people living on islands and their respective economies</w:t>
      </w:r>
      <w:r w:rsidR="00F854E6" w:rsidRPr="00706248">
        <w:rPr>
          <w:rFonts w:ascii="Arial" w:hAnsi="Arial" w:cs="Arial"/>
        </w:rPr>
        <w:t>, as people on islands have no choice</w:t>
      </w:r>
      <w:r w:rsidR="005740D5">
        <w:rPr>
          <w:rFonts w:ascii="Arial" w:hAnsi="Arial" w:cs="Arial"/>
        </w:rPr>
        <w:t xml:space="preserve"> with respect to alternative transport services.</w:t>
      </w:r>
    </w:p>
    <w:p w14:paraId="1C5FAD23" w14:textId="2CB217ED" w:rsidR="00310D86" w:rsidRDefault="005740D5" w:rsidP="00352494">
      <w:pPr>
        <w:jc w:val="both"/>
        <w:rPr>
          <w:rFonts w:ascii="Arial" w:hAnsi="Arial" w:cs="Arial"/>
        </w:rPr>
      </w:pPr>
      <w:r>
        <w:rPr>
          <w:rFonts w:ascii="Arial" w:hAnsi="Arial" w:cs="Arial"/>
        </w:rPr>
        <w:t>As regards</w:t>
      </w:r>
      <w:r w:rsidR="00310D86" w:rsidRPr="00706248">
        <w:rPr>
          <w:rFonts w:ascii="Arial" w:hAnsi="Arial" w:cs="Arial"/>
        </w:rPr>
        <w:t xml:space="preserve"> aviation INSULEUR acknowledges</w:t>
      </w:r>
      <w:r w:rsidR="00B66BB3" w:rsidRPr="00706248">
        <w:rPr>
          <w:rFonts w:ascii="Arial" w:hAnsi="Arial" w:cs="Arial"/>
        </w:rPr>
        <w:t xml:space="preserve"> that “the aviation industry</w:t>
      </w:r>
      <w:r w:rsidR="001C70F9" w:rsidRPr="00706248">
        <w:rPr>
          <w:rFonts w:ascii="Arial" w:hAnsi="Arial" w:cs="Arial"/>
        </w:rPr>
        <w:t xml:space="preserve"> represents approximately 2.5%</w:t>
      </w:r>
      <w:r w:rsidR="00200C9A" w:rsidRPr="00706248">
        <w:rPr>
          <w:rFonts w:ascii="Arial" w:hAnsi="Arial" w:cs="Arial"/>
        </w:rPr>
        <w:t xml:space="preserve"> of global human induced CO2 emissions”</w:t>
      </w:r>
      <w:r w:rsidR="00200C9A" w:rsidRPr="00706248">
        <w:rPr>
          <w:rStyle w:val="FootnoteReference"/>
          <w:rFonts w:ascii="Arial" w:hAnsi="Arial" w:cs="Arial"/>
        </w:rPr>
        <w:footnoteReference w:id="3"/>
      </w:r>
      <w:r w:rsidR="00AC1A89" w:rsidRPr="00706248">
        <w:rPr>
          <w:rFonts w:ascii="Arial" w:hAnsi="Arial" w:cs="Arial"/>
        </w:rPr>
        <w:t xml:space="preserve">.  However, industry leaders are also indicating the difficulties </w:t>
      </w:r>
      <w:r w:rsidR="00EC41E7">
        <w:rPr>
          <w:rFonts w:ascii="Arial" w:hAnsi="Arial" w:cs="Arial"/>
        </w:rPr>
        <w:t>t</w:t>
      </w:r>
      <w:r w:rsidR="00AC1A89" w:rsidRPr="00706248">
        <w:rPr>
          <w:rFonts w:ascii="Arial" w:hAnsi="Arial" w:cs="Arial"/>
        </w:rPr>
        <w:t>he</w:t>
      </w:r>
      <w:r w:rsidR="00F14E67">
        <w:rPr>
          <w:rFonts w:ascii="Arial" w:hAnsi="Arial" w:cs="Arial"/>
        </w:rPr>
        <w:t xml:space="preserve"> </w:t>
      </w:r>
      <w:r w:rsidR="00AC1A89" w:rsidRPr="00706248">
        <w:rPr>
          <w:rFonts w:ascii="Arial" w:hAnsi="Arial" w:cs="Arial"/>
        </w:rPr>
        <w:t>airline industr</w:t>
      </w:r>
      <w:r w:rsidR="005C59DE" w:rsidRPr="00706248">
        <w:rPr>
          <w:rFonts w:ascii="Arial" w:hAnsi="Arial" w:cs="Arial"/>
        </w:rPr>
        <w:t>y</w:t>
      </w:r>
      <w:r w:rsidR="00A33BE5" w:rsidRPr="00706248">
        <w:rPr>
          <w:rFonts w:ascii="Arial" w:hAnsi="Arial" w:cs="Arial"/>
        </w:rPr>
        <w:t xml:space="preserve"> </w:t>
      </w:r>
      <w:r w:rsidR="00EC41E7">
        <w:rPr>
          <w:rFonts w:ascii="Arial" w:hAnsi="Arial" w:cs="Arial"/>
        </w:rPr>
        <w:t>is currently</w:t>
      </w:r>
      <w:r w:rsidR="00952654">
        <w:rPr>
          <w:rFonts w:ascii="Arial" w:hAnsi="Arial" w:cs="Arial"/>
        </w:rPr>
        <w:t xml:space="preserve"> facing</w:t>
      </w:r>
      <w:r w:rsidR="00A33BE5" w:rsidRPr="00706248">
        <w:rPr>
          <w:rFonts w:ascii="Arial" w:hAnsi="Arial" w:cs="Arial"/>
        </w:rPr>
        <w:t xml:space="preserve"> in the</w:t>
      </w:r>
      <w:r w:rsidR="00952654">
        <w:rPr>
          <w:rFonts w:ascii="Arial" w:hAnsi="Arial" w:cs="Arial"/>
        </w:rPr>
        <w:t>ir transition towards</w:t>
      </w:r>
      <w:r w:rsidR="00EC59D1" w:rsidRPr="00706248">
        <w:rPr>
          <w:rFonts w:ascii="Arial" w:hAnsi="Arial" w:cs="Arial"/>
        </w:rPr>
        <w:t xml:space="preserve"> net zero emissions, </w:t>
      </w:r>
      <w:r w:rsidR="00893F96" w:rsidRPr="00706248">
        <w:rPr>
          <w:rFonts w:ascii="Arial" w:hAnsi="Arial" w:cs="Arial"/>
        </w:rPr>
        <w:t>with the difficulties concerning principally</w:t>
      </w:r>
      <w:r w:rsidR="00E459F0" w:rsidRPr="00706248">
        <w:rPr>
          <w:rFonts w:ascii="Arial" w:hAnsi="Arial" w:cs="Arial"/>
        </w:rPr>
        <w:t xml:space="preserve"> “the pace of investment in facilities to produce “green hydrogen”</w:t>
      </w:r>
      <w:r w:rsidR="005C59DE" w:rsidRPr="00706248">
        <w:rPr>
          <w:rFonts w:ascii="Arial" w:hAnsi="Arial" w:cs="Arial"/>
        </w:rPr>
        <w:t xml:space="preserve"> and sustainable aviation fuel.”</w:t>
      </w:r>
      <w:r w:rsidR="009555AC" w:rsidRPr="00706248">
        <w:rPr>
          <w:rStyle w:val="FootnoteReference"/>
          <w:rFonts w:ascii="Arial" w:hAnsi="Arial" w:cs="Arial"/>
        </w:rPr>
        <w:footnoteReference w:id="4"/>
      </w:r>
    </w:p>
    <w:p w14:paraId="428FFC94" w14:textId="6C6C0281" w:rsidR="00405591" w:rsidRDefault="00405591" w:rsidP="00352494">
      <w:pPr>
        <w:jc w:val="both"/>
        <w:rPr>
          <w:rFonts w:ascii="Arial" w:hAnsi="Arial" w:cs="Arial"/>
        </w:rPr>
      </w:pPr>
      <w:r>
        <w:rPr>
          <w:rFonts w:ascii="Arial" w:hAnsi="Arial" w:cs="Arial"/>
        </w:rPr>
        <w:t xml:space="preserve">As regards the maritime sector </w:t>
      </w:r>
      <w:r w:rsidR="00181C43">
        <w:rPr>
          <w:rFonts w:ascii="Arial" w:hAnsi="Arial" w:cs="Arial"/>
        </w:rPr>
        <w:t>INSULEUR also acknowledges as indicated in the report by IRENA (2021) that</w:t>
      </w:r>
      <w:r w:rsidR="00F17899">
        <w:rPr>
          <w:rFonts w:ascii="Arial" w:hAnsi="Arial" w:cs="Arial"/>
        </w:rPr>
        <w:t xml:space="preserve"> in 2018 (quoting the fourth G</w:t>
      </w:r>
      <w:r w:rsidR="00906C9E">
        <w:rPr>
          <w:rFonts w:ascii="Arial" w:hAnsi="Arial" w:cs="Arial"/>
        </w:rPr>
        <w:t xml:space="preserve">HG Study conducted by the International Maritime </w:t>
      </w:r>
      <w:proofErr w:type="spellStart"/>
      <w:r w:rsidR="00906C9E">
        <w:rPr>
          <w:rFonts w:ascii="Arial" w:hAnsi="Arial" w:cs="Arial"/>
        </w:rPr>
        <w:t>Organisation</w:t>
      </w:r>
      <w:proofErr w:type="spellEnd"/>
      <w:r w:rsidR="00906C9E">
        <w:rPr>
          <w:rFonts w:ascii="Arial" w:hAnsi="Arial" w:cs="Arial"/>
        </w:rPr>
        <w:t>):</w:t>
      </w:r>
    </w:p>
    <w:p w14:paraId="4DB0E017" w14:textId="77777777" w:rsidR="0042131D" w:rsidRDefault="0042131D" w:rsidP="00352494">
      <w:pPr>
        <w:jc w:val="both"/>
        <w:rPr>
          <w:rFonts w:ascii="Arial" w:hAnsi="Arial" w:cs="Arial"/>
        </w:rPr>
      </w:pPr>
    </w:p>
    <w:p w14:paraId="3D0BD130" w14:textId="1CF92D2E" w:rsidR="00181C43" w:rsidRDefault="0042131D" w:rsidP="0042131D">
      <w:pPr>
        <w:ind w:left="720"/>
        <w:jc w:val="both"/>
        <w:rPr>
          <w:rFonts w:ascii="Arial" w:hAnsi="Arial" w:cs="Arial"/>
          <w:sz w:val="20"/>
          <w:szCs w:val="20"/>
        </w:rPr>
      </w:pPr>
      <w:r w:rsidRPr="00706248">
        <w:rPr>
          <w:rFonts w:ascii="Arial" w:hAnsi="Arial" w:cs="Arial"/>
          <w:b/>
          <w:bCs/>
          <w:color w:val="000000"/>
          <w:sz w:val="20"/>
          <w:szCs w:val="20"/>
        </w:rPr>
        <w:t xml:space="preserve">global shipping energy demand accounted for nearly 11 exajoules (EJ), resulting in around 1 billion </w:t>
      </w:r>
      <w:proofErr w:type="spellStart"/>
      <w:r w:rsidRPr="00706248">
        <w:rPr>
          <w:rFonts w:ascii="Arial" w:hAnsi="Arial" w:cs="Arial"/>
          <w:b/>
          <w:bCs/>
          <w:color w:val="000000"/>
          <w:sz w:val="20"/>
          <w:szCs w:val="20"/>
        </w:rPr>
        <w:t>tonnes</w:t>
      </w:r>
      <w:proofErr w:type="spellEnd"/>
      <w:r w:rsidRPr="00706248">
        <w:rPr>
          <w:rFonts w:ascii="Arial" w:hAnsi="Arial" w:cs="Arial"/>
          <w:b/>
          <w:bCs/>
          <w:color w:val="000000"/>
          <w:sz w:val="20"/>
          <w:szCs w:val="20"/>
        </w:rPr>
        <w:t xml:space="preserve"> of carbon dioxide (CO</w:t>
      </w:r>
      <w:r w:rsidRPr="00706248">
        <w:rPr>
          <w:rStyle w:val="A20"/>
          <w:rFonts w:ascii="Arial" w:hAnsi="Arial" w:cs="Arial"/>
          <w:b/>
          <w:bCs/>
          <w:sz w:val="20"/>
          <w:szCs w:val="20"/>
        </w:rPr>
        <w:t>2</w:t>
      </w:r>
      <w:r w:rsidRPr="00706248">
        <w:rPr>
          <w:rFonts w:ascii="Arial" w:hAnsi="Arial" w:cs="Arial"/>
          <w:b/>
          <w:bCs/>
          <w:color w:val="000000"/>
          <w:sz w:val="20"/>
          <w:szCs w:val="20"/>
        </w:rPr>
        <w:t xml:space="preserve">) </w:t>
      </w:r>
      <w:r w:rsidRPr="00706248">
        <w:rPr>
          <w:rFonts w:ascii="Arial" w:hAnsi="Arial" w:cs="Arial"/>
          <w:color w:val="000000"/>
          <w:sz w:val="20"/>
          <w:szCs w:val="20"/>
        </w:rPr>
        <w:t>(international shipping and domestic navigation) and 3% of annual global greenhouse gas (GHG) emissions on a CO</w:t>
      </w:r>
      <w:r w:rsidRPr="00706248">
        <w:rPr>
          <w:rStyle w:val="A20"/>
          <w:rFonts w:ascii="Arial" w:hAnsi="Arial" w:cs="Arial"/>
          <w:sz w:val="20"/>
          <w:szCs w:val="20"/>
        </w:rPr>
        <w:t>2</w:t>
      </w:r>
      <w:r w:rsidRPr="00706248">
        <w:rPr>
          <w:rFonts w:ascii="Arial" w:hAnsi="Arial" w:cs="Arial"/>
          <w:color w:val="000000"/>
          <w:sz w:val="20"/>
          <w:szCs w:val="20"/>
        </w:rPr>
        <w:t>-equivalent basis</w:t>
      </w:r>
      <w:r>
        <w:rPr>
          <w:rFonts w:ascii="Arial" w:hAnsi="Arial" w:cs="Arial"/>
          <w:color w:val="000000"/>
          <w:sz w:val="20"/>
          <w:szCs w:val="20"/>
        </w:rPr>
        <w:t>.</w:t>
      </w:r>
      <w:r>
        <w:rPr>
          <w:rStyle w:val="FootnoteReference"/>
          <w:rFonts w:ascii="Arial" w:hAnsi="Arial" w:cs="Arial"/>
          <w:color w:val="000000"/>
          <w:sz w:val="20"/>
          <w:szCs w:val="20"/>
        </w:rPr>
        <w:footnoteReference w:id="5"/>
      </w:r>
    </w:p>
    <w:p w14:paraId="64401E37" w14:textId="77777777" w:rsidR="006D209D" w:rsidRDefault="006D209D" w:rsidP="006D209D">
      <w:pPr>
        <w:jc w:val="both"/>
        <w:rPr>
          <w:rFonts w:ascii="Arial" w:hAnsi="Arial" w:cs="Arial"/>
        </w:rPr>
      </w:pPr>
    </w:p>
    <w:p w14:paraId="22363251" w14:textId="4EF12AA2" w:rsidR="0042131D" w:rsidRPr="00706248" w:rsidRDefault="006D209D" w:rsidP="006D209D">
      <w:pPr>
        <w:jc w:val="both"/>
        <w:rPr>
          <w:rFonts w:ascii="Arial" w:hAnsi="Arial" w:cs="Arial"/>
        </w:rPr>
      </w:pPr>
      <w:r w:rsidRPr="00706248">
        <w:rPr>
          <w:rFonts w:ascii="Arial" w:hAnsi="Arial" w:cs="Arial"/>
        </w:rPr>
        <w:lastRenderedPageBreak/>
        <w:t xml:space="preserve">The maritime sector </w:t>
      </w:r>
      <w:r>
        <w:rPr>
          <w:rFonts w:ascii="Arial" w:hAnsi="Arial" w:cs="Arial"/>
        </w:rPr>
        <w:t xml:space="preserve">is also indicating </w:t>
      </w:r>
      <w:r w:rsidR="00697015">
        <w:rPr>
          <w:rFonts w:ascii="Arial" w:hAnsi="Arial" w:cs="Arial"/>
        </w:rPr>
        <w:t>certain biofuel replacements for heavy fuel oil such as hydrotreated vegetable oil</w:t>
      </w:r>
      <w:r w:rsidR="00024106">
        <w:rPr>
          <w:rFonts w:ascii="Arial" w:hAnsi="Arial" w:cs="Arial"/>
        </w:rPr>
        <w:t>. However, this “technology is still in development</w:t>
      </w:r>
      <w:r w:rsidR="000438AD">
        <w:rPr>
          <w:rFonts w:ascii="Arial" w:hAnsi="Arial" w:cs="Arial"/>
        </w:rPr>
        <w:t>, so there are limited practical instances where this fuel has been used” (IRENA, 2021, p. 45)</w:t>
      </w:r>
      <w:r w:rsidR="00953322">
        <w:rPr>
          <w:rFonts w:ascii="Arial" w:hAnsi="Arial" w:cs="Arial"/>
        </w:rPr>
        <w:t>.</w:t>
      </w:r>
      <w:r w:rsidR="00A313FE">
        <w:rPr>
          <w:rFonts w:ascii="Arial" w:hAnsi="Arial" w:cs="Arial"/>
        </w:rPr>
        <w:t xml:space="preserve">  For short distance</w:t>
      </w:r>
      <w:r w:rsidR="005E216F">
        <w:rPr>
          <w:rFonts w:ascii="Arial" w:hAnsi="Arial" w:cs="Arial"/>
        </w:rPr>
        <w:t>s Battery-electric ships are being seen as an important alternative</w:t>
      </w:r>
      <w:r w:rsidR="001037E2">
        <w:rPr>
          <w:rFonts w:ascii="Arial" w:hAnsi="Arial" w:cs="Arial"/>
        </w:rPr>
        <w:t>, with hydrogen fuel gauging</w:t>
      </w:r>
      <w:r w:rsidR="000B57FC">
        <w:rPr>
          <w:rFonts w:ascii="Arial" w:hAnsi="Arial" w:cs="Arial"/>
        </w:rPr>
        <w:t xml:space="preserve"> “increased interest due to its implications for long-distance freight” (ibid., </w:t>
      </w:r>
      <w:r w:rsidR="00072CDE">
        <w:rPr>
          <w:rFonts w:ascii="Arial" w:hAnsi="Arial" w:cs="Arial"/>
        </w:rPr>
        <w:t>p. 106). However, it is important for these technologies to be incorporated into the respective port infrastructures.</w:t>
      </w:r>
    </w:p>
    <w:p w14:paraId="7C5353F8" w14:textId="6932A54D" w:rsidR="00302211" w:rsidRDefault="00F14E67" w:rsidP="00352494">
      <w:pPr>
        <w:jc w:val="both"/>
        <w:rPr>
          <w:rFonts w:ascii="Arial" w:hAnsi="Arial" w:cs="Arial"/>
        </w:rPr>
      </w:pPr>
      <w:r>
        <w:rPr>
          <w:rFonts w:ascii="Arial" w:hAnsi="Arial" w:cs="Arial"/>
        </w:rPr>
        <w:t>I</w:t>
      </w:r>
      <w:r w:rsidR="00F3452F" w:rsidRPr="00706248">
        <w:rPr>
          <w:rFonts w:ascii="Arial" w:hAnsi="Arial" w:cs="Arial"/>
        </w:rPr>
        <w:t>t must</w:t>
      </w:r>
      <w:r w:rsidR="00302211" w:rsidRPr="00706248">
        <w:rPr>
          <w:rFonts w:ascii="Arial" w:hAnsi="Arial" w:cs="Arial"/>
        </w:rPr>
        <w:t xml:space="preserve"> </w:t>
      </w:r>
      <w:r>
        <w:rPr>
          <w:rFonts w:ascii="Arial" w:hAnsi="Arial" w:cs="Arial"/>
        </w:rPr>
        <w:t xml:space="preserve">therefore </w:t>
      </w:r>
      <w:r w:rsidR="00302211" w:rsidRPr="00706248">
        <w:rPr>
          <w:rFonts w:ascii="Arial" w:hAnsi="Arial" w:cs="Arial"/>
        </w:rPr>
        <w:t xml:space="preserve">be ensured that the </w:t>
      </w:r>
      <w:r w:rsidR="00C54A4B" w:rsidRPr="00706248">
        <w:rPr>
          <w:rFonts w:ascii="Arial" w:hAnsi="Arial" w:cs="Arial"/>
        </w:rPr>
        <w:t>decarbonization</w:t>
      </w:r>
      <w:r w:rsidR="00302211" w:rsidRPr="00706248">
        <w:rPr>
          <w:rFonts w:ascii="Arial" w:hAnsi="Arial" w:cs="Arial"/>
        </w:rPr>
        <w:t xml:space="preserve"> of maritime and air industries happens </w:t>
      </w:r>
      <w:r w:rsidR="00171CE2" w:rsidRPr="00706248">
        <w:rPr>
          <w:rFonts w:ascii="Arial" w:hAnsi="Arial" w:cs="Arial"/>
        </w:rPr>
        <w:t xml:space="preserve">at the same pace as </w:t>
      </w:r>
      <w:r w:rsidR="00302211" w:rsidRPr="00706248">
        <w:rPr>
          <w:rFonts w:ascii="Arial" w:hAnsi="Arial" w:cs="Arial"/>
        </w:rPr>
        <w:t xml:space="preserve">the preservation of the unique economic and social benefits afforded by air </w:t>
      </w:r>
      <w:r w:rsidR="00776CEA" w:rsidRPr="00706248">
        <w:rPr>
          <w:rFonts w:ascii="Arial" w:hAnsi="Arial" w:cs="Arial"/>
        </w:rPr>
        <w:t xml:space="preserve">and sea </w:t>
      </w:r>
      <w:r w:rsidR="00302211" w:rsidRPr="00706248">
        <w:rPr>
          <w:rFonts w:ascii="Arial" w:hAnsi="Arial" w:cs="Arial"/>
        </w:rPr>
        <w:t>connectivity</w:t>
      </w:r>
      <w:r w:rsidR="00CE7EB7">
        <w:rPr>
          <w:rFonts w:ascii="Arial" w:hAnsi="Arial" w:cs="Arial"/>
        </w:rPr>
        <w:t xml:space="preserve">.  In relation to </w:t>
      </w:r>
      <w:proofErr w:type="gramStart"/>
      <w:r w:rsidR="00CE7EB7">
        <w:rPr>
          <w:rFonts w:ascii="Arial" w:hAnsi="Arial" w:cs="Arial"/>
        </w:rPr>
        <w:t>islands</w:t>
      </w:r>
      <w:proofErr w:type="gramEnd"/>
      <w:r w:rsidR="00CE7EB7">
        <w:rPr>
          <w:rFonts w:ascii="Arial" w:hAnsi="Arial" w:cs="Arial"/>
        </w:rPr>
        <w:t xml:space="preserve"> air and sea connectivity must be seen as the pillars which ensure </w:t>
      </w:r>
      <w:proofErr w:type="gramStart"/>
      <w:r w:rsidR="00CE7EB7">
        <w:rPr>
          <w:rFonts w:ascii="Arial" w:hAnsi="Arial" w:cs="Arial"/>
        </w:rPr>
        <w:t>the social</w:t>
      </w:r>
      <w:proofErr w:type="gramEnd"/>
      <w:r w:rsidR="00CE7EB7">
        <w:rPr>
          <w:rFonts w:ascii="Arial" w:hAnsi="Arial" w:cs="Arial"/>
        </w:rPr>
        <w:t xml:space="preserve"> and territorial cohesion with the rest of Europe</w:t>
      </w:r>
      <w:r w:rsidR="00955593" w:rsidRPr="00706248">
        <w:rPr>
          <w:rFonts w:ascii="Arial" w:hAnsi="Arial" w:cs="Arial"/>
        </w:rPr>
        <w:t xml:space="preserve">.  The </w:t>
      </w:r>
      <w:proofErr w:type="gramStart"/>
      <w:r w:rsidR="00955593" w:rsidRPr="00706248">
        <w:rPr>
          <w:rFonts w:ascii="Arial" w:hAnsi="Arial" w:cs="Arial"/>
        </w:rPr>
        <w:t>proposals as</w:t>
      </w:r>
      <w:proofErr w:type="gramEnd"/>
      <w:r w:rsidR="00955593" w:rsidRPr="00706248">
        <w:rPr>
          <w:rFonts w:ascii="Arial" w:hAnsi="Arial" w:cs="Arial"/>
        </w:rPr>
        <w:t xml:space="preserve"> set forth in </w:t>
      </w:r>
      <w:r w:rsidR="00776CEA" w:rsidRPr="00706248">
        <w:rPr>
          <w:rFonts w:ascii="Arial" w:hAnsi="Arial" w:cs="Arial"/>
        </w:rPr>
        <w:t>articles</w:t>
      </w:r>
      <w:r w:rsidR="00C54A4B" w:rsidRPr="00706248">
        <w:rPr>
          <w:rFonts w:ascii="Arial" w:hAnsi="Arial" w:cs="Arial"/>
        </w:rPr>
        <w:t xml:space="preserve"> 14 and 15</w:t>
      </w:r>
      <w:r w:rsidR="00F3452F" w:rsidRPr="00706248">
        <w:rPr>
          <w:rFonts w:ascii="Arial" w:hAnsi="Arial" w:cs="Arial"/>
        </w:rPr>
        <w:t xml:space="preserve"> of the </w:t>
      </w:r>
      <w:r w:rsidR="00352494" w:rsidRPr="00706248">
        <w:rPr>
          <w:rFonts w:ascii="Arial" w:hAnsi="Arial" w:cs="Arial"/>
        </w:rPr>
        <w:t xml:space="preserve">revised </w:t>
      </w:r>
      <w:r w:rsidR="00F3452F" w:rsidRPr="00706248">
        <w:rPr>
          <w:rFonts w:ascii="Arial" w:hAnsi="Arial" w:cs="Arial"/>
        </w:rPr>
        <w:t>ETD</w:t>
      </w:r>
      <w:r w:rsidR="00955593" w:rsidRPr="00706248">
        <w:rPr>
          <w:rFonts w:ascii="Arial" w:hAnsi="Arial" w:cs="Arial"/>
        </w:rPr>
        <w:t xml:space="preserve"> do not ensure such compliance and undermine</w:t>
      </w:r>
      <w:r w:rsidR="000A3689" w:rsidRPr="00706248">
        <w:rPr>
          <w:rFonts w:ascii="Arial" w:hAnsi="Arial" w:cs="Arial"/>
        </w:rPr>
        <w:t xml:space="preserve"> the social and territorial cohesion upon which the European Union is based</w:t>
      </w:r>
      <w:r w:rsidR="00F77128" w:rsidRPr="00706248">
        <w:rPr>
          <w:rFonts w:ascii="Arial" w:hAnsi="Arial" w:cs="Arial"/>
        </w:rPr>
        <w:t>.  I</w:t>
      </w:r>
      <w:r w:rsidR="00C54A4B" w:rsidRPr="00706248">
        <w:rPr>
          <w:rFonts w:ascii="Arial" w:hAnsi="Arial" w:cs="Arial"/>
        </w:rPr>
        <w:t>nsular territories are characterized by limited accessibility and isolation, and the revision of the ETD poses a serious concern for insular regions for whom territorial equality and parity</w:t>
      </w:r>
      <w:r w:rsidR="00764D8C">
        <w:rPr>
          <w:rFonts w:ascii="Arial" w:hAnsi="Arial" w:cs="Arial"/>
        </w:rPr>
        <w:t xml:space="preserve"> (when compared to the mainland)</w:t>
      </w:r>
      <w:r w:rsidR="00C54A4B" w:rsidRPr="00706248">
        <w:rPr>
          <w:rFonts w:ascii="Arial" w:hAnsi="Arial" w:cs="Arial"/>
        </w:rPr>
        <w:t xml:space="preserve"> is a central pillar for stability and growth.</w:t>
      </w:r>
    </w:p>
    <w:p w14:paraId="78BA3CDA" w14:textId="1EB20F81" w:rsidR="00125201" w:rsidRDefault="00125201" w:rsidP="00352494">
      <w:pPr>
        <w:jc w:val="both"/>
        <w:rPr>
          <w:rFonts w:ascii="Arial" w:hAnsi="Arial" w:cs="Arial"/>
        </w:rPr>
      </w:pPr>
      <w:r>
        <w:rPr>
          <w:rFonts w:ascii="Arial" w:hAnsi="Arial" w:cs="Arial"/>
        </w:rPr>
        <w:t xml:space="preserve">It must be highlighted that while </w:t>
      </w:r>
      <w:r w:rsidR="00764D8C">
        <w:rPr>
          <w:rFonts w:ascii="Arial" w:hAnsi="Arial" w:cs="Arial"/>
        </w:rPr>
        <w:t xml:space="preserve">the COVID-19 has </w:t>
      </w:r>
      <w:r w:rsidR="007609C0">
        <w:rPr>
          <w:rFonts w:ascii="Arial" w:hAnsi="Arial" w:cs="Arial"/>
        </w:rPr>
        <w:t>significantly impacted</w:t>
      </w:r>
      <w:r w:rsidR="00764D8C">
        <w:rPr>
          <w:rFonts w:ascii="Arial" w:hAnsi="Arial" w:cs="Arial"/>
        </w:rPr>
        <w:t xml:space="preserve"> all territories</w:t>
      </w:r>
      <w:r w:rsidR="00570881">
        <w:rPr>
          <w:rFonts w:ascii="Arial" w:hAnsi="Arial" w:cs="Arial"/>
        </w:rPr>
        <w:t>, and the respective supply chains</w:t>
      </w:r>
      <w:r w:rsidR="00D56C74">
        <w:rPr>
          <w:rFonts w:ascii="Arial" w:hAnsi="Arial" w:cs="Arial"/>
        </w:rPr>
        <w:t xml:space="preserve">, islands have been affected significantly.  </w:t>
      </w:r>
      <w:r w:rsidR="00FD02B4">
        <w:rPr>
          <w:rFonts w:ascii="Arial" w:hAnsi="Arial" w:cs="Arial"/>
        </w:rPr>
        <w:t>Thus,</w:t>
      </w:r>
      <w:r w:rsidR="00D56C74">
        <w:rPr>
          <w:rFonts w:ascii="Arial" w:hAnsi="Arial" w:cs="Arial"/>
        </w:rPr>
        <w:t xml:space="preserve"> for example airline connectivity in many islands has not been restored to pre-pandemic level.</w:t>
      </w:r>
      <w:r w:rsidR="008B1588">
        <w:rPr>
          <w:rFonts w:ascii="Arial" w:hAnsi="Arial" w:cs="Arial"/>
        </w:rPr>
        <w:t xml:space="preserve">  The supply chain through maritime links has also been affected badly.</w:t>
      </w:r>
    </w:p>
    <w:p w14:paraId="4DD5DCD7" w14:textId="3CDD66E1" w:rsidR="001C0A15" w:rsidRPr="00133AFF" w:rsidRDefault="001C0A15" w:rsidP="00352494">
      <w:pPr>
        <w:jc w:val="both"/>
        <w:rPr>
          <w:rFonts w:ascii="Arial" w:hAnsi="Arial" w:cs="Arial"/>
          <w:lang w:val="mt-MT"/>
        </w:rPr>
      </w:pPr>
      <w:r w:rsidRPr="001C0A15">
        <w:rPr>
          <w:rFonts w:ascii="Arial" w:hAnsi="Arial" w:cs="Arial"/>
        </w:rPr>
        <w:t xml:space="preserve">With respect to aviation since the taxation will apply to </w:t>
      </w:r>
      <w:proofErr w:type="gramStart"/>
      <w:r w:rsidRPr="001C0A15">
        <w:rPr>
          <w:rFonts w:ascii="Arial" w:hAnsi="Arial" w:cs="Arial"/>
        </w:rPr>
        <w:t>intra EU</w:t>
      </w:r>
      <w:proofErr w:type="gramEnd"/>
      <w:r w:rsidRPr="001C0A15">
        <w:rPr>
          <w:rFonts w:ascii="Arial" w:hAnsi="Arial" w:cs="Arial"/>
        </w:rPr>
        <w:t xml:space="preserve"> flights</w:t>
      </w:r>
      <w:r w:rsidR="00606F4D">
        <w:rPr>
          <w:rFonts w:ascii="Arial" w:hAnsi="Arial" w:cs="Arial"/>
        </w:rPr>
        <w:t xml:space="preserve">, the proposed taxation on aviation fuels will also imply that </w:t>
      </w:r>
      <w:r w:rsidRPr="001C0A15">
        <w:rPr>
          <w:rFonts w:ascii="Arial" w:hAnsi="Arial" w:cs="Arial"/>
        </w:rPr>
        <w:t xml:space="preserve">European destinations will become less competitive when compared to </w:t>
      </w:r>
      <w:r w:rsidR="00A23A65">
        <w:rPr>
          <w:rFonts w:ascii="Arial" w:hAnsi="Arial" w:cs="Arial"/>
          <w:lang w:val="mt-MT"/>
        </w:rPr>
        <w:t>other non-EU destinations</w:t>
      </w:r>
      <w:r w:rsidR="00072745">
        <w:rPr>
          <w:rFonts w:ascii="Arial" w:hAnsi="Arial" w:cs="Arial"/>
          <w:lang w:val="mt-MT"/>
        </w:rPr>
        <w:t>.  This will mean</w:t>
      </w:r>
      <w:r w:rsidR="00606F4D">
        <w:rPr>
          <w:rFonts w:ascii="Arial" w:hAnsi="Arial" w:cs="Arial"/>
        </w:rPr>
        <w:t xml:space="preserve"> </w:t>
      </w:r>
      <w:proofErr w:type="spellStart"/>
      <w:r w:rsidR="00606F4D">
        <w:rPr>
          <w:rFonts w:ascii="Arial" w:hAnsi="Arial" w:cs="Arial"/>
        </w:rPr>
        <w:t>th</w:t>
      </w:r>
      <w:proofErr w:type="spellEnd"/>
      <w:r w:rsidR="00072745">
        <w:rPr>
          <w:rFonts w:ascii="Arial" w:hAnsi="Arial" w:cs="Arial"/>
          <w:lang w:val="mt-MT"/>
        </w:rPr>
        <w:t xml:space="preserve">at the proposed </w:t>
      </w:r>
      <w:r w:rsidR="00606F4D">
        <w:rPr>
          <w:rFonts w:ascii="Arial" w:hAnsi="Arial" w:cs="Arial"/>
        </w:rPr>
        <w:t>taxation</w:t>
      </w:r>
      <w:r w:rsidR="00072745">
        <w:rPr>
          <w:rFonts w:ascii="Arial" w:hAnsi="Arial" w:cs="Arial"/>
          <w:lang w:val="mt-MT"/>
        </w:rPr>
        <w:t xml:space="preserve"> by</w:t>
      </w:r>
      <w:r w:rsidR="00606F4D">
        <w:rPr>
          <w:rFonts w:ascii="Arial" w:hAnsi="Arial" w:cs="Arial"/>
        </w:rPr>
        <w:t xml:space="preserve"> the European Commission will </w:t>
      </w:r>
      <w:r w:rsidR="007B0D42">
        <w:rPr>
          <w:rFonts w:ascii="Arial" w:hAnsi="Arial" w:cs="Arial"/>
          <w:lang w:val="mt-MT"/>
        </w:rPr>
        <w:t>have a discriminatory effect</w:t>
      </w:r>
      <w:r w:rsidR="005C0D9A">
        <w:rPr>
          <w:rFonts w:ascii="Arial" w:hAnsi="Arial" w:cs="Arial"/>
          <w:lang w:val="mt-MT"/>
        </w:rPr>
        <w:t xml:space="preserve"> on European destinations, </w:t>
      </w:r>
      <w:r w:rsidR="0055783B">
        <w:rPr>
          <w:rFonts w:ascii="Arial" w:hAnsi="Arial" w:cs="Arial"/>
          <w:lang w:val="mt-MT"/>
        </w:rPr>
        <w:t>when compared</w:t>
      </w:r>
      <w:r w:rsidR="00D40214">
        <w:rPr>
          <w:rFonts w:ascii="Arial" w:hAnsi="Arial" w:cs="Arial"/>
          <w:lang w:val="mt-MT"/>
        </w:rPr>
        <w:t xml:space="preserve"> to their counterparts outside of the European Union.</w:t>
      </w:r>
      <w:r w:rsidR="005C0D9A">
        <w:rPr>
          <w:rFonts w:ascii="Arial" w:hAnsi="Arial" w:cs="Arial"/>
          <w:lang w:val="mt-MT"/>
        </w:rPr>
        <w:t xml:space="preserve">  This will be more so for islands which depend completely on aviation </w:t>
      </w:r>
      <w:r w:rsidR="004C2050">
        <w:rPr>
          <w:rFonts w:ascii="Arial" w:hAnsi="Arial" w:cs="Arial"/>
          <w:lang w:val="mt-MT"/>
        </w:rPr>
        <w:t>for their incoming tourists.</w:t>
      </w:r>
    </w:p>
    <w:p w14:paraId="138D0147" w14:textId="77777777" w:rsidR="00352494" w:rsidRPr="00706248" w:rsidRDefault="00352494" w:rsidP="00352494">
      <w:pPr>
        <w:jc w:val="both"/>
        <w:rPr>
          <w:rFonts w:ascii="Arial" w:hAnsi="Arial" w:cs="Arial"/>
        </w:rPr>
      </w:pPr>
    </w:p>
    <w:p w14:paraId="122A54F4" w14:textId="361F463C" w:rsidR="00201863" w:rsidRPr="00706248" w:rsidRDefault="00630999" w:rsidP="00706248">
      <w:pPr>
        <w:pStyle w:val="Heading1"/>
        <w:numPr>
          <w:ilvl w:val="0"/>
          <w:numId w:val="4"/>
        </w:numPr>
        <w:pBdr>
          <w:bottom w:val="single" w:sz="4" w:space="1" w:color="auto"/>
        </w:pBdr>
        <w:ind w:left="567" w:hanging="567"/>
        <w:rPr>
          <w:rFonts w:ascii="Arial" w:hAnsi="Arial" w:cs="Arial"/>
          <w:b/>
          <w:bCs/>
          <w:sz w:val="28"/>
          <w:szCs w:val="28"/>
        </w:rPr>
      </w:pPr>
      <w:bookmarkStart w:id="4" w:name="_Toc120843938"/>
      <w:r w:rsidRPr="00706248">
        <w:rPr>
          <w:rFonts w:ascii="Arial" w:hAnsi="Arial" w:cs="Arial"/>
          <w:b/>
          <w:bCs/>
          <w:sz w:val="28"/>
          <w:szCs w:val="28"/>
        </w:rPr>
        <w:t>CONCLUSION</w:t>
      </w:r>
      <w:bookmarkEnd w:id="4"/>
    </w:p>
    <w:p w14:paraId="3AF53BA9" w14:textId="77777777" w:rsidR="00430C92" w:rsidRDefault="00430C92" w:rsidP="00352494">
      <w:pPr>
        <w:jc w:val="both"/>
        <w:rPr>
          <w:rFonts w:ascii="Arial" w:hAnsi="Arial" w:cs="Arial"/>
          <w:b/>
          <w:bCs/>
        </w:rPr>
      </w:pPr>
    </w:p>
    <w:p w14:paraId="12654A0A" w14:textId="7B158FFC" w:rsidR="00201863" w:rsidRPr="00706248" w:rsidRDefault="00630999" w:rsidP="00352494">
      <w:pPr>
        <w:jc w:val="both"/>
        <w:rPr>
          <w:rFonts w:ascii="Arial" w:hAnsi="Arial" w:cs="Arial"/>
        </w:rPr>
      </w:pPr>
      <w:r w:rsidRPr="00706248">
        <w:rPr>
          <w:rFonts w:ascii="Arial" w:hAnsi="Arial" w:cs="Arial"/>
        </w:rPr>
        <w:t xml:space="preserve">While remaining fully committed to the EU’s green deal objectives, INSULEUR considers </w:t>
      </w:r>
      <w:r w:rsidR="00352494" w:rsidRPr="00706248">
        <w:rPr>
          <w:rFonts w:ascii="Arial" w:hAnsi="Arial" w:cs="Arial"/>
        </w:rPr>
        <w:t xml:space="preserve">that the increase in transport costs resulting from the ETD revision will </w:t>
      </w:r>
      <w:r w:rsidRPr="00706248">
        <w:rPr>
          <w:rFonts w:ascii="Arial" w:hAnsi="Arial" w:cs="Arial"/>
        </w:rPr>
        <w:t xml:space="preserve">have a higher </w:t>
      </w:r>
      <w:r w:rsidR="00352494" w:rsidRPr="00706248">
        <w:rPr>
          <w:rFonts w:ascii="Arial" w:hAnsi="Arial" w:cs="Arial"/>
        </w:rPr>
        <w:t xml:space="preserve">and </w:t>
      </w:r>
      <w:r w:rsidRPr="00706248">
        <w:rPr>
          <w:rFonts w:ascii="Arial" w:hAnsi="Arial" w:cs="Arial"/>
        </w:rPr>
        <w:t xml:space="preserve">disproportional impact on citizens and businesses located in </w:t>
      </w:r>
      <w:r w:rsidR="00352494" w:rsidRPr="00706248">
        <w:rPr>
          <w:rFonts w:ascii="Arial" w:hAnsi="Arial" w:cs="Arial"/>
        </w:rPr>
        <w:t>EU islands</w:t>
      </w:r>
      <w:r w:rsidRPr="00706248">
        <w:rPr>
          <w:rFonts w:ascii="Arial" w:hAnsi="Arial" w:cs="Arial"/>
        </w:rPr>
        <w:t>, with an adverse impact on economic and social cohesion in the EU.</w:t>
      </w:r>
      <w:r w:rsidR="00352494" w:rsidRPr="00706248">
        <w:rPr>
          <w:rFonts w:ascii="Arial" w:hAnsi="Arial" w:cs="Arial"/>
        </w:rPr>
        <w:t xml:space="preserve"> </w:t>
      </w:r>
      <w:r w:rsidRPr="00706248">
        <w:rPr>
          <w:rFonts w:ascii="Arial" w:hAnsi="Arial" w:cs="Arial"/>
        </w:rPr>
        <w:t xml:space="preserve">INSULEUR </w:t>
      </w:r>
      <w:r w:rsidR="00352494" w:rsidRPr="00706248">
        <w:rPr>
          <w:rFonts w:ascii="Arial" w:hAnsi="Arial" w:cs="Arial"/>
        </w:rPr>
        <w:t xml:space="preserve">therefore </w:t>
      </w:r>
      <w:r w:rsidRPr="00706248">
        <w:rPr>
          <w:rFonts w:ascii="Arial" w:hAnsi="Arial" w:cs="Arial"/>
        </w:rPr>
        <w:t xml:space="preserve">calls on the deletion of Articles 14 and 15 from the revision of the Energy Tax Directive and to retain the current exemption of taxation on the use of kerosene fuel </w:t>
      </w:r>
      <w:r w:rsidR="00AF5769">
        <w:rPr>
          <w:rFonts w:ascii="Arial" w:hAnsi="Arial" w:cs="Arial"/>
        </w:rPr>
        <w:t>for the</w:t>
      </w:r>
      <w:r w:rsidRPr="00706248">
        <w:rPr>
          <w:rFonts w:ascii="Arial" w:hAnsi="Arial" w:cs="Arial"/>
        </w:rPr>
        <w:t xml:space="preserve"> aviation</w:t>
      </w:r>
      <w:r w:rsidR="00AF5769">
        <w:rPr>
          <w:rFonts w:ascii="Arial" w:hAnsi="Arial" w:cs="Arial"/>
        </w:rPr>
        <w:t xml:space="preserve"> sector</w:t>
      </w:r>
      <w:r w:rsidR="00EB7959">
        <w:rPr>
          <w:rFonts w:ascii="Arial" w:hAnsi="Arial" w:cs="Arial"/>
        </w:rPr>
        <w:t>,</w:t>
      </w:r>
      <w:r w:rsidRPr="00706248">
        <w:rPr>
          <w:rFonts w:ascii="Arial" w:hAnsi="Arial" w:cs="Arial"/>
        </w:rPr>
        <w:t xml:space="preserve"> and </w:t>
      </w:r>
      <w:r w:rsidR="00AF5769">
        <w:rPr>
          <w:rFonts w:ascii="Arial" w:hAnsi="Arial" w:cs="Arial"/>
        </w:rPr>
        <w:t xml:space="preserve">heavy fuel oil </w:t>
      </w:r>
      <w:r w:rsidR="00EB7959">
        <w:rPr>
          <w:rFonts w:ascii="Arial" w:hAnsi="Arial" w:cs="Arial"/>
        </w:rPr>
        <w:t>for</w:t>
      </w:r>
      <w:r w:rsidR="00AF5769">
        <w:rPr>
          <w:rFonts w:ascii="Arial" w:hAnsi="Arial" w:cs="Arial"/>
        </w:rPr>
        <w:t xml:space="preserve"> the maritime sectors</w:t>
      </w:r>
      <w:r w:rsidRPr="00706248">
        <w:rPr>
          <w:rFonts w:ascii="Arial" w:hAnsi="Arial" w:cs="Arial"/>
        </w:rPr>
        <w:t>.</w:t>
      </w:r>
    </w:p>
    <w:p w14:paraId="3237A2C2" w14:textId="127723EF" w:rsidR="00D2684A" w:rsidRDefault="00D2684A" w:rsidP="00352494">
      <w:pPr>
        <w:jc w:val="both"/>
        <w:rPr>
          <w:rFonts w:ascii="Arial" w:hAnsi="Arial" w:cs="Arial"/>
        </w:rPr>
      </w:pPr>
      <w:r w:rsidRPr="00706248">
        <w:rPr>
          <w:rFonts w:ascii="Arial" w:hAnsi="Arial" w:cs="Arial"/>
        </w:rPr>
        <w:t>Moreover</w:t>
      </w:r>
      <w:r w:rsidR="0055020B">
        <w:rPr>
          <w:rFonts w:ascii="Arial" w:hAnsi="Arial" w:cs="Arial"/>
        </w:rPr>
        <w:t xml:space="preserve">, </w:t>
      </w:r>
      <w:r w:rsidR="00757E00">
        <w:rPr>
          <w:rFonts w:ascii="Arial" w:hAnsi="Arial" w:cs="Arial"/>
          <w:lang w:val="mt-MT"/>
        </w:rPr>
        <w:t>I</w:t>
      </w:r>
      <w:r w:rsidRPr="00706248">
        <w:rPr>
          <w:rFonts w:ascii="Arial" w:hAnsi="Arial" w:cs="Arial"/>
        </w:rPr>
        <w:t xml:space="preserve">NSULEUR calls for further incentives for air and maritime carriers to shift towards more sustainable </w:t>
      </w:r>
      <w:r w:rsidR="00640F6A" w:rsidRPr="00706248">
        <w:rPr>
          <w:rFonts w:ascii="Arial" w:hAnsi="Arial" w:cs="Arial"/>
        </w:rPr>
        <w:t>technologies and fuels</w:t>
      </w:r>
      <w:r w:rsidR="007E3E38" w:rsidRPr="00706248">
        <w:rPr>
          <w:rFonts w:ascii="Arial" w:hAnsi="Arial" w:cs="Arial"/>
        </w:rPr>
        <w:t>.</w:t>
      </w:r>
      <w:r w:rsidR="0069478C" w:rsidRPr="00706248">
        <w:rPr>
          <w:rFonts w:ascii="Arial" w:hAnsi="Arial" w:cs="Arial"/>
        </w:rPr>
        <w:t xml:space="preserve">  Imposing a tax</w:t>
      </w:r>
      <w:r w:rsidR="007E3E38" w:rsidRPr="00706248">
        <w:rPr>
          <w:rFonts w:ascii="Arial" w:hAnsi="Arial" w:cs="Arial"/>
        </w:rPr>
        <w:t xml:space="preserve"> will imply</w:t>
      </w:r>
      <w:r w:rsidR="007C143B">
        <w:rPr>
          <w:rFonts w:ascii="Arial" w:hAnsi="Arial" w:cs="Arial"/>
        </w:rPr>
        <w:t xml:space="preserve"> </w:t>
      </w:r>
      <w:r w:rsidR="007E3E38" w:rsidRPr="00706248">
        <w:rPr>
          <w:rFonts w:ascii="Arial" w:hAnsi="Arial" w:cs="Arial"/>
        </w:rPr>
        <w:t>a</w:t>
      </w:r>
      <w:r w:rsidR="0011486D">
        <w:rPr>
          <w:rFonts w:ascii="Arial" w:hAnsi="Arial" w:cs="Arial"/>
        </w:rPr>
        <w:t xml:space="preserve"> further </w:t>
      </w:r>
      <w:r w:rsidR="007E3E38" w:rsidRPr="00706248">
        <w:rPr>
          <w:rFonts w:ascii="Arial" w:hAnsi="Arial" w:cs="Arial"/>
        </w:rPr>
        <w:t xml:space="preserve">increase in </w:t>
      </w:r>
      <w:r w:rsidR="007609C0" w:rsidRPr="00706248">
        <w:rPr>
          <w:rFonts w:ascii="Arial" w:hAnsi="Arial" w:cs="Arial"/>
        </w:rPr>
        <w:t>prices but</w:t>
      </w:r>
      <w:r w:rsidR="0069478C" w:rsidRPr="00706248">
        <w:rPr>
          <w:rFonts w:ascii="Arial" w:hAnsi="Arial" w:cs="Arial"/>
        </w:rPr>
        <w:t xml:space="preserve"> </w:t>
      </w:r>
      <w:r w:rsidR="007E3E38" w:rsidRPr="00706248">
        <w:rPr>
          <w:rFonts w:ascii="Arial" w:hAnsi="Arial" w:cs="Arial"/>
        </w:rPr>
        <w:t>will not necessarily assist in the shift towards the set decarbonization goals</w:t>
      </w:r>
      <w:r w:rsidR="00561711" w:rsidRPr="00706248">
        <w:rPr>
          <w:rFonts w:ascii="Arial" w:hAnsi="Arial" w:cs="Arial"/>
        </w:rPr>
        <w:t>.</w:t>
      </w:r>
      <w:r w:rsidR="00EB7959">
        <w:rPr>
          <w:rFonts w:ascii="Arial" w:hAnsi="Arial" w:cs="Arial"/>
        </w:rPr>
        <w:t xml:space="preserve">  Nonetheless having a set date</w:t>
      </w:r>
      <w:r w:rsidR="004F0CF4">
        <w:rPr>
          <w:rFonts w:ascii="Arial" w:hAnsi="Arial" w:cs="Arial"/>
        </w:rPr>
        <w:t xml:space="preserve"> by which this shift </w:t>
      </w:r>
      <w:r w:rsidR="007C143B">
        <w:rPr>
          <w:rFonts w:ascii="Arial" w:hAnsi="Arial" w:cs="Arial"/>
        </w:rPr>
        <w:t>must</w:t>
      </w:r>
      <w:r w:rsidR="004F0CF4">
        <w:rPr>
          <w:rFonts w:ascii="Arial" w:hAnsi="Arial" w:cs="Arial"/>
        </w:rPr>
        <w:t xml:space="preserve"> take place</w:t>
      </w:r>
      <w:r w:rsidR="007C143B">
        <w:rPr>
          <w:rFonts w:ascii="Arial" w:hAnsi="Arial" w:cs="Arial"/>
        </w:rPr>
        <w:t>,</w:t>
      </w:r>
      <w:r w:rsidR="004F0CF4">
        <w:rPr>
          <w:rFonts w:ascii="Arial" w:hAnsi="Arial" w:cs="Arial"/>
        </w:rPr>
        <w:t xml:space="preserve"> </w:t>
      </w:r>
      <w:r w:rsidR="00770136">
        <w:rPr>
          <w:rFonts w:ascii="Arial" w:hAnsi="Arial" w:cs="Arial"/>
        </w:rPr>
        <w:t>and</w:t>
      </w:r>
      <w:r w:rsidR="004F0CF4">
        <w:rPr>
          <w:rFonts w:ascii="Arial" w:hAnsi="Arial" w:cs="Arial"/>
        </w:rPr>
        <w:t xml:space="preserve"> the constant monitoring of the respect</w:t>
      </w:r>
      <w:r w:rsidR="00391474">
        <w:rPr>
          <w:rFonts w:ascii="Arial" w:hAnsi="Arial" w:cs="Arial"/>
        </w:rPr>
        <w:t xml:space="preserve">ive </w:t>
      </w:r>
      <w:r w:rsidR="004F0CF4">
        <w:rPr>
          <w:rFonts w:ascii="Arial" w:hAnsi="Arial" w:cs="Arial"/>
        </w:rPr>
        <w:t xml:space="preserve">sectors to ensure that the shift can </w:t>
      </w:r>
      <w:r w:rsidR="007609C0">
        <w:rPr>
          <w:rFonts w:ascii="Arial" w:hAnsi="Arial" w:cs="Arial"/>
        </w:rPr>
        <w:t>take</w:t>
      </w:r>
      <w:r w:rsidR="004F0CF4">
        <w:rPr>
          <w:rFonts w:ascii="Arial" w:hAnsi="Arial" w:cs="Arial"/>
        </w:rPr>
        <w:t xml:space="preserve"> place</w:t>
      </w:r>
      <w:r w:rsidR="00E2699C">
        <w:rPr>
          <w:rFonts w:ascii="Arial" w:hAnsi="Arial" w:cs="Arial"/>
        </w:rPr>
        <w:t xml:space="preserve"> in line with the technological development</w:t>
      </w:r>
      <w:r w:rsidR="00F1253D">
        <w:rPr>
          <w:rFonts w:ascii="Arial" w:hAnsi="Arial" w:cs="Arial"/>
        </w:rPr>
        <w:t>s</w:t>
      </w:r>
      <w:r w:rsidR="00E2699C">
        <w:rPr>
          <w:rFonts w:ascii="Arial" w:hAnsi="Arial" w:cs="Arial"/>
        </w:rPr>
        <w:t xml:space="preserve"> and the</w:t>
      </w:r>
      <w:r w:rsidR="00107E6D">
        <w:rPr>
          <w:rFonts w:ascii="Arial" w:hAnsi="Arial" w:cs="Arial"/>
        </w:rPr>
        <w:t xml:space="preserve"> adequate </w:t>
      </w:r>
      <w:r w:rsidR="00E2699C">
        <w:rPr>
          <w:rFonts w:ascii="Arial" w:hAnsi="Arial" w:cs="Arial"/>
        </w:rPr>
        <w:t>supply of sustainable</w:t>
      </w:r>
      <w:r w:rsidR="00107E6D">
        <w:rPr>
          <w:rFonts w:ascii="Arial" w:hAnsi="Arial" w:cs="Arial"/>
        </w:rPr>
        <w:t xml:space="preserve"> </w:t>
      </w:r>
      <w:proofErr w:type="gramStart"/>
      <w:r w:rsidR="00107E6D">
        <w:rPr>
          <w:rFonts w:ascii="Arial" w:hAnsi="Arial" w:cs="Arial"/>
        </w:rPr>
        <w:t>f</w:t>
      </w:r>
      <w:r w:rsidR="00E2699C">
        <w:rPr>
          <w:rFonts w:ascii="Arial" w:hAnsi="Arial" w:cs="Arial"/>
        </w:rPr>
        <w:t>uels</w:t>
      </w:r>
      <w:r w:rsidR="00107E6D">
        <w:rPr>
          <w:rFonts w:ascii="Arial" w:hAnsi="Arial" w:cs="Arial"/>
        </w:rPr>
        <w:t>,</w:t>
      </w:r>
      <w:proofErr w:type="gramEnd"/>
      <w:r w:rsidR="00107E6D">
        <w:rPr>
          <w:rFonts w:ascii="Arial" w:hAnsi="Arial" w:cs="Arial"/>
        </w:rPr>
        <w:t xml:space="preserve"> should be the indicated way forward.</w:t>
      </w:r>
      <w:r w:rsidR="00F1253D">
        <w:rPr>
          <w:rFonts w:ascii="Arial" w:hAnsi="Arial" w:cs="Arial"/>
        </w:rPr>
        <w:t xml:space="preserve">  Given the importance of these </w:t>
      </w:r>
      <w:proofErr w:type="gramStart"/>
      <w:r w:rsidR="00F1253D">
        <w:rPr>
          <w:rFonts w:ascii="Arial" w:hAnsi="Arial" w:cs="Arial"/>
        </w:rPr>
        <w:t>sectors</w:t>
      </w:r>
      <w:proofErr w:type="gramEnd"/>
      <w:r w:rsidR="00F1253D">
        <w:rPr>
          <w:rFonts w:ascii="Arial" w:hAnsi="Arial" w:cs="Arial"/>
        </w:rPr>
        <w:t xml:space="preserve"> it must also be ensured that important EU funds related to research and innovation</w:t>
      </w:r>
      <w:r w:rsidR="003F4C16">
        <w:rPr>
          <w:rFonts w:ascii="Arial" w:hAnsi="Arial" w:cs="Arial"/>
        </w:rPr>
        <w:t xml:space="preserve"> (such as in the case of Horizon 2020 funds) are dedicated to these sectors.</w:t>
      </w:r>
    </w:p>
    <w:p w14:paraId="331B3628" w14:textId="5BAF1D66" w:rsidR="00BE75F0" w:rsidRDefault="009E123C" w:rsidP="007609C0">
      <w:pPr>
        <w:jc w:val="both"/>
        <w:rPr>
          <w:rFonts w:ascii="Arial" w:hAnsi="Arial" w:cs="Arial"/>
        </w:rPr>
      </w:pPr>
      <w:r>
        <w:rPr>
          <w:rFonts w:ascii="Arial" w:hAnsi="Arial" w:cs="Arial"/>
        </w:rPr>
        <w:t>Continuing with the proposed reforms will</w:t>
      </w:r>
      <w:r w:rsidR="003F4C16">
        <w:rPr>
          <w:rFonts w:ascii="Arial" w:hAnsi="Arial" w:cs="Arial"/>
        </w:rPr>
        <w:t xml:space="preserve"> continue to worsen the social and economic situation of islands, which were affected significantly with the COVID-19 pandemic.</w:t>
      </w:r>
      <w:r w:rsidR="009F0909">
        <w:rPr>
          <w:rFonts w:ascii="Arial" w:hAnsi="Arial" w:cs="Arial"/>
        </w:rPr>
        <w:t xml:space="preserve">  The same report </w:t>
      </w:r>
      <w:r w:rsidR="00525A32">
        <w:rPr>
          <w:rFonts w:ascii="Arial" w:hAnsi="Arial" w:cs="Arial"/>
        </w:rPr>
        <w:t xml:space="preserve">on EU islands </w:t>
      </w:r>
      <w:r w:rsidR="00525A32">
        <w:rPr>
          <w:rFonts w:ascii="Arial" w:hAnsi="Arial" w:cs="Arial"/>
        </w:rPr>
        <w:lastRenderedPageBreak/>
        <w:t xml:space="preserve">and Cohesion Policy approved by the European Parliament highlighted that </w:t>
      </w:r>
      <w:r w:rsidR="00FB3E02">
        <w:rPr>
          <w:rFonts w:ascii="Arial" w:hAnsi="Arial" w:cs="Arial"/>
        </w:rPr>
        <w:t>the COVID-19 crisis</w:t>
      </w:r>
      <w:r w:rsidR="00D0362B">
        <w:rPr>
          <w:rFonts w:ascii="Arial" w:hAnsi="Arial" w:cs="Arial"/>
        </w:rPr>
        <w:t xml:space="preserve"> “has demonstrated that island economies are highly vulnerable to such events</w:t>
      </w:r>
      <w:r w:rsidR="009D0494">
        <w:rPr>
          <w:rFonts w:ascii="Arial" w:hAnsi="Arial" w:cs="Arial"/>
        </w:rPr>
        <w:t>”, and that Europe’s recovery “must not create further regional disparities</w:t>
      </w:r>
      <w:r w:rsidR="00692A86">
        <w:rPr>
          <w:rFonts w:ascii="Arial" w:hAnsi="Arial" w:cs="Arial"/>
        </w:rPr>
        <w:t xml:space="preserve">” (pp. 5-6). Pushing ahead with the reforms being </w:t>
      </w:r>
      <w:r w:rsidR="00F8500E">
        <w:rPr>
          <w:rFonts w:ascii="Arial" w:hAnsi="Arial" w:cs="Arial"/>
        </w:rPr>
        <w:t>proposed in the revision of the Energy Tax Directive</w:t>
      </w:r>
      <w:r w:rsidR="00C5615A">
        <w:rPr>
          <w:rFonts w:ascii="Arial" w:hAnsi="Arial" w:cs="Arial"/>
        </w:rPr>
        <w:t xml:space="preserve"> as regards aviation and maritime fuel will fuel further regional disparities between islands</w:t>
      </w:r>
      <w:r w:rsidR="00592B64">
        <w:rPr>
          <w:rFonts w:ascii="Arial" w:hAnsi="Arial" w:cs="Arial"/>
        </w:rPr>
        <w:t xml:space="preserve"> </w:t>
      </w:r>
      <w:r w:rsidR="00C5615A">
        <w:rPr>
          <w:rFonts w:ascii="Arial" w:hAnsi="Arial" w:cs="Arial"/>
        </w:rPr>
        <w:t>and the mainland</w:t>
      </w:r>
      <w:r w:rsidR="00592B64">
        <w:rPr>
          <w:rFonts w:ascii="Arial" w:hAnsi="Arial" w:cs="Arial"/>
        </w:rPr>
        <w:t>,</w:t>
      </w:r>
      <w:r w:rsidR="00C5615A">
        <w:rPr>
          <w:rFonts w:ascii="Arial" w:hAnsi="Arial" w:cs="Arial"/>
        </w:rPr>
        <w:t xml:space="preserve"> without addressing the structural actions required in the airline and maritime industries.</w:t>
      </w:r>
    </w:p>
    <w:p w14:paraId="516D4CF6" w14:textId="1140C5A2" w:rsidR="00893040" w:rsidRPr="001C0A15" w:rsidRDefault="00893040" w:rsidP="007609C0">
      <w:pPr>
        <w:jc w:val="both"/>
        <w:rPr>
          <w:rFonts w:ascii="Arial" w:hAnsi="Arial" w:cs="Arial"/>
        </w:rPr>
      </w:pPr>
    </w:p>
    <w:sectPr w:rsidR="00893040" w:rsidRPr="001C0A15" w:rsidSect="00BE75F0">
      <w:pgSz w:w="12240" w:h="15840"/>
      <w:pgMar w:top="1276"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8A58" w14:textId="77777777" w:rsidR="0020155E" w:rsidRDefault="0020155E" w:rsidP="003A52F0">
      <w:pPr>
        <w:spacing w:after="0" w:line="240" w:lineRule="auto"/>
      </w:pPr>
      <w:r>
        <w:separator/>
      </w:r>
    </w:p>
  </w:endnote>
  <w:endnote w:type="continuationSeparator" w:id="0">
    <w:p w14:paraId="4EF720C0" w14:textId="77777777" w:rsidR="0020155E" w:rsidRDefault="0020155E" w:rsidP="003A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713246"/>
      <w:docPartObj>
        <w:docPartGallery w:val="Page Numbers (Bottom of Page)"/>
        <w:docPartUnique/>
      </w:docPartObj>
    </w:sdtPr>
    <w:sdtEndPr>
      <w:rPr>
        <w:rFonts w:ascii="Arial" w:hAnsi="Arial" w:cs="Arial"/>
        <w:b/>
        <w:bCs/>
        <w:noProof/>
      </w:rPr>
    </w:sdtEndPr>
    <w:sdtContent>
      <w:p w14:paraId="2F53C576" w14:textId="38A8079C" w:rsidR="00A90B08" w:rsidRPr="00A90B08" w:rsidRDefault="00A90B08">
        <w:pPr>
          <w:pStyle w:val="Footer"/>
          <w:jc w:val="right"/>
          <w:rPr>
            <w:rFonts w:ascii="Arial" w:hAnsi="Arial" w:cs="Arial"/>
            <w:b/>
            <w:bCs/>
          </w:rPr>
        </w:pPr>
        <w:r w:rsidRPr="00A90B08">
          <w:rPr>
            <w:rFonts w:ascii="Arial" w:hAnsi="Arial" w:cs="Arial"/>
            <w:b/>
            <w:bCs/>
          </w:rPr>
          <w:fldChar w:fldCharType="begin"/>
        </w:r>
        <w:r w:rsidRPr="00A90B08">
          <w:rPr>
            <w:rFonts w:ascii="Arial" w:hAnsi="Arial" w:cs="Arial"/>
            <w:b/>
            <w:bCs/>
          </w:rPr>
          <w:instrText xml:space="preserve"> PAGE   \* MERGEFORMAT </w:instrText>
        </w:r>
        <w:r w:rsidRPr="00A90B08">
          <w:rPr>
            <w:rFonts w:ascii="Arial" w:hAnsi="Arial" w:cs="Arial"/>
            <w:b/>
            <w:bCs/>
          </w:rPr>
          <w:fldChar w:fldCharType="separate"/>
        </w:r>
        <w:r w:rsidRPr="00A90B08">
          <w:rPr>
            <w:rFonts w:ascii="Arial" w:hAnsi="Arial" w:cs="Arial"/>
            <w:b/>
            <w:bCs/>
            <w:noProof/>
          </w:rPr>
          <w:t>2</w:t>
        </w:r>
        <w:r w:rsidRPr="00A90B08">
          <w:rPr>
            <w:rFonts w:ascii="Arial" w:hAnsi="Arial" w:cs="Arial"/>
            <w:b/>
            <w:bCs/>
            <w:noProof/>
          </w:rPr>
          <w:fldChar w:fldCharType="end"/>
        </w:r>
      </w:p>
    </w:sdtContent>
  </w:sdt>
  <w:p w14:paraId="3E913455" w14:textId="77777777" w:rsidR="00A90B08" w:rsidRDefault="00A9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63C1" w14:textId="77777777" w:rsidR="0020155E" w:rsidRDefault="0020155E" w:rsidP="003A52F0">
      <w:pPr>
        <w:spacing w:after="0" w:line="240" w:lineRule="auto"/>
      </w:pPr>
      <w:r>
        <w:separator/>
      </w:r>
    </w:p>
  </w:footnote>
  <w:footnote w:type="continuationSeparator" w:id="0">
    <w:p w14:paraId="7E2B30F4" w14:textId="77777777" w:rsidR="0020155E" w:rsidRDefault="0020155E" w:rsidP="003A52F0">
      <w:pPr>
        <w:spacing w:after="0" w:line="240" w:lineRule="auto"/>
      </w:pPr>
      <w:r>
        <w:continuationSeparator/>
      </w:r>
    </w:p>
  </w:footnote>
  <w:footnote w:id="1">
    <w:p w14:paraId="56493BDD" w14:textId="681F5ABF" w:rsidR="00B42145" w:rsidRPr="0052019B" w:rsidRDefault="00B42145" w:rsidP="00B42145">
      <w:pPr>
        <w:pStyle w:val="FootnoteText"/>
        <w:jc w:val="both"/>
        <w:rPr>
          <w:rFonts w:ascii="Arial" w:hAnsi="Arial" w:cs="Arial"/>
        </w:rPr>
      </w:pPr>
      <w:r w:rsidRPr="00B42145">
        <w:rPr>
          <w:rStyle w:val="FootnoteReference"/>
          <w:rFonts w:ascii="Arial" w:hAnsi="Arial" w:cs="Arial"/>
        </w:rPr>
        <w:footnoteRef/>
      </w:r>
      <w:r w:rsidRPr="00B42145">
        <w:rPr>
          <w:rFonts w:ascii="Arial" w:hAnsi="Arial" w:cs="Arial"/>
        </w:rPr>
        <w:t xml:space="preserve"> </w:t>
      </w:r>
      <w:r w:rsidR="00A91D53">
        <w:rPr>
          <w:rFonts w:ascii="Arial" w:hAnsi="Arial" w:cs="Arial"/>
        </w:rPr>
        <w:t xml:space="preserve">European Parliament (13 May 2022), </w:t>
      </w:r>
      <w:r w:rsidR="00F03A25">
        <w:rPr>
          <w:rFonts w:ascii="Arial" w:hAnsi="Arial" w:cs="Arial"/>
          <w:i/>
          <w:iCs/>
        </w:rPr>
        <w:t>Report on EU islands and Cohesion Policy: Current Situation and Future Challenges</w:t>
      </w:r>
      <w:r w:rsidR="0052019B">
        <w:rPr>
          <w:rFonts w:ascii="Arial" w:hAnsi="Arial" w:cs="Arial"/>
        </w:rPr>
        <w:t>, p. 4.</w:t>
      </w:r>
    </w:p>
  </w:footnote>
  <w:footnote w:id="2">
    <w:p w14:paraId="4DC852B5" w14:textId="1DD19332" w:rsidR="004C4204" w:rsidRPr="00706248" w:rsidRDefault="004C4204" w:rsidP="00706248">
      <w:pPr>
        <w:pStyle w:val="FootnoteText"/>
        <w:jc w:val="both"/>
        <w:rPr>
          <w:rFonts w:ascii="Arial" w:hAnsi="Arial" w:cs="Arial"/>
        </w:rPr>
      </w:pPr>
      <w:r w:rsidRPr="00706248">
        <w:rPr>
          <w:rStyle w:val="FootnoteReference"/>
          <w:rFonts w:ascii="Arial" w:hAnsi="Arial" w:cs="Arial"/>
        </w:rPr>
        <w:footnoteRef/>
      </w:r>
      <w:r w:rsidRPr="00706248">
        <w:rPr>
          <w:rFonts w:ascii="Arial" w:hAnsi="Arial" w:cs="Arial"/>
        </w:rPr>
        <w:t xml:space="preserve"> </w:t>
      </w:r>
      <w:r w:rsidR="00F3452F" w:rsidRPr="00706248">
        <w:rPr>
          <w:rFonts w:ascii="Arial" w:hAnsi="Arial" w:cs="Arial"/>
        </w:rPr>
        <w:t>The OXERA report</w:t>
      </w:r>
      <w:r w:rsidR="003C0B76">
        <w:rPr>
          <w:rFonts w:ascii="Arial" w:hAnsi="Arial" w:cs="Arial"/>
        </w:rPr>
        <w:t xml:space="preserve"> highlights that </w:t>
      </w:r>
      <w:r w:rsidR="00F3452F" w:rsidRPr="00706248">
        <w:rPr>
          <w:rFonts w:ascii="Arial" w:hAnsi="Arial" w:cs="Arial"/>
        </w:rPr>
        <w:t xml:space="preserve"> “Assessment of the Impact of the Fit for 55 Policies on Airports commissioned by ACI Europe also warns that “as demand for direct intra-EU flights will be predominantly impacted compared to direct extra-EU flights, the EU’s regional and secondary airports are bound to be most affected – </w:t>
      </w:r>
      <w:r w:rsidR="00F3452F" w:rsidRPr="00706248">
        <w:rPr>
          <w:rFonts w:ascii="Arial" w:hAnsi="Arial" w:cs="Arial"/>
          <w:u w:val="single"/>
        </w:rPr>
        <w:t>hurting in particular regions highly dependent upon the tourism industry</w:t>
      </w:r>
      <w:r w:rsidR="00F3452F" w:rsidRPr="00706248">
        <w:rPr>
          <w:rFonts w:ascii="Arial" w:hAnsi="Arial" w:cs="Arial"/>
        </w:rPr>
        <w:t>”.</w:t>
      </w:r>
    </w:p>
  </w:footnote>
  <w:footnote w:id="3">
    <w:p w14:paraId="3232550A" w14:textId="0266166E" w:rsidR="00200C9A" w:rsidRPr="00706248" w:rsidRDefault="00200C9A" w:rsidP="00706248">
      <w:pPr>
        <w:pStyle w:val="FootnoteText"/>
        <w:jc w:val="both"/>
        <w:rPr>
          <w:rFonts w:ascii="Arial" w:hAnsi="Arial" w:cs="Arial"/>
        </w:rPr>
      </w:pPr>
      <w:r w:rsidRPr="00706248">
        <w:rPr>
          <w:rStyle w:val="FootnoteReference"/>
          <w:rFonts w:ascii="Arial" w:hAnsi="Arial" w:cs="Arial"/>
        </w:rPr>
        <w:footnoteRef/>
      </w:r>
      <w:r w:rsidRPr="00706248">
        <w:rPr>
          <w:rFonts w:ascii="Arial" w:hAnsi="Arial" w:cs="Arial"/>
        </w:rPr>
        <w:t xml:space="preserve"> </w:t>
      </w:r>
      <w:r w:rsidR="000448BE" w:rsidRPr="00706248">
        <w:rPr>
          <w:rFonts w:ascii="Arial" w:hAnsi="Arial" w:cs="Arial"/>
        </w:rPr>
        <w:t xml:space="preserve">Airbus, </w:t>
      </w:r>
      <w:r w:rsidR="000448BE" w:rsidRPr="00706248">
        <w:rPr>
          <w:rFonts w:ascii="Arial" w:hAnsi="Arial" w:cs="Arial"/>
          <w:i/>
          <w:iCs/>
        </w:rPr>
        <w:t>Decarbonisation. Towards more sustainable aerospace for future generations</w:t>
      </w:r>
      <w:r w:rsidR="000448BE" w:rsidRPr="00706248">
        <w:rPr>
          <w:rFonts w:ascii="Arial" w:hAnsi="Arial" w:cs="Arial"/>
        </w:rPr>
        <w:t xml:space="preserve"> (online) : </w:t>
      </w:r>
      <w:hyperlink r:id="rId1" w:history="1">
        <w:r w:rsidR="005D3A29" w:rsidRPr="00706248">
          <w:rPr>
            <w:rStyle w:val="Hyperlink"/>
            <w:rFonts w:ascii="Arial" w:hAnsi="Arial" w:cs="Arial"/>
          </w:rPr>
          <w:t>https://www.airbus.com/en/sustainability/respecting-the-planet/decarbonisation</w:t>
        </w:r>
      </w:hyperlink>
      <w:r w:rsidR="005D3A29" w:rsidRPr="00706248">
        <w:rPr>
          <w:rFonts w:ascii="Arial" w:hAnsi="Arial" w:cs="Arial"/>
        </w:rPr>
        <w:t xml:space="preserve"> [accessed 2 December 2022].</w:t>
      </w:r>
    </w:p>
  </w:footnote>
  <w:footnote w:id="4">
    <w:p w14:paraId="73399766" w14:textId="4501E469" w:rsidR="009555AC" w:rsidRPr="00706248" w:rsidRDefault="009555AC" w:rsidP="00706248">
      <w:pPr>
        <w:pStyle w:val="FootnoteText"/>
        <w:jc w:val="both"/>
        <w:rPr>
          <w:rFonts w:ascii="Arial" w:hAnsi="Arial" w:cs="Arial"/>
        </w:rPr>
      </w:pPr>
      <w:r w:rsidRPr="00706248">
        <w:rPr>
          <w:rStyle w:val="FootnoteReference"/>
          <w:rFonts w:ascii="Arial" w:hAnsi="Arial" w:cs="Arial"/>
        </w:rPr>
        <w:footnoteRef/>
      </w:r>
      <w:r w:rsidRPr="00706248">
        <w:rPr>
          <w:rFonts w:ascii="Arial" w:hAnsi="Arial" w:cs="Arial"/>
        </w:rPr>
        <w:t xml:space="preserve"> Jasper Jolly</w:t>
      </w:r>
      <w:r w:rsidR="002E2AC6" w:rsidRPr="00706248">
        <w:rPr>
          <w:rFonts w:ascii="Arial" w:hAnsi="Arial" w:cs="Arial"/>
        </w:rPr>
        <w:t xml:space="preserve">, </w:t>
      </w:r>
      <w:r w:rsidR="002E2AC6" w:rsidRPr="00706248">
        <w:rPr>
          <w:rFonts w:ascii="Arial" w:hAnsi="Arial" w:cs="Arial"/>
          <w:i/>
          <w:iCs/>
        </w:rPr>
        <w:t>Airbus boss warns of delay in decarbonizing airline industry</w:t>
      </w:r>
      <w:r w:rsidR="002E2AC6" w:rsidRPr="00706248">
        <w:rPr>
          <w:rFonts w:ascii="Arial" w:hAnsi="Arial" w:cs="Arial"/>
        </w:rPr>
        <w:t xml:space="preserve">, in </w:t>
      </w:r>
      <w:r w:rsidR="00E43C97" w:rsidRPr="00706248">
        <w:rPr>
          <w:rFonts w:ascii="Arial" w:hAnsi="Arial" w:cs="Arial"/>
          <w:i/>
          <w:iCs/>
        </w:rPr>
        <w:t xml:space="preserve">The Guardian </w:t>
      </w:r>
      <w:r w:rsidR="00E43C97" w:rsidRPr="00706248">
        <w:rPr>
          <w:rFonts w:ascii="Arial" w:hAnsi="Arial" w:cs="Arial"/>
        </w:rPr>
        <w:t xml:space="preserve">(online) : </w:t>
      </w:r>
      <w:hyperlink r:id="rId2" w:history="1">
        <w:r w:rsidR="00E43C97" w:rsidRPr="00706248">
          <w:rPr>
            <w:rStyle w:val="Hyperlink"/>
            <w:rFonts w:ascii="Arial" w:hAnsi="Arial" w:cs="Arial"/>
          </w:rPr>
          <w:t>https://www.theguardian.com/business/2022/nov/30/airbus-boss-warn-delay-decarbonising-airline-industry-hydrogen-sustainable-aviation-fuel</w:t>
        </w:r>
      </w:hyperlink>
      <w:r w:rsidR="00E43C97" w:rsidRPr="00706248">
        <w:rPr>
          <w:rFonts w:ascii="Arial" w:hAnsi="Arial" w:cs="Arial"/>
        </w:rPr>
        <w:t xml:space="preserve"> [accessed 2 December].</w:t>
      </w:r>
    </w:p>
  </w:footnote>
  <w:footnote w:id="5">
    <w:p w14:paraId="53D97213" w14:textId="4E7D3954" w:rsidR="009D2544" w:rsidRPr="00706248" w:rsidRDefault="0042131D" w:rsidP="00706248">
      <w:pPr>
        <w:pStyle w:val="Default"/>
        <w:spacing w:after="120" w:line="211" w:lineRule="atLeast"/>
        <w:jc w:val="both"/>
        <w:rPr>
          <w:sz w:val="18"/>
          <w:szCs w:val="18"/>
          <w:lang w:val="en-US"/>
        </w:rPr>
      </w:pPr>
      <w:r w:rsidRPr="00706248">
        <w:rPr>
          <w:rStyle w:val="FootnoteReference"/>
          <w:rFonts w:ascii="Arial" w:hAnsi="Arial" w:cs="Arial"/>
        </w:rPr>
        <w:footnoteRef/>
      </w:r>
      <w:r w:rsidRPr="00706248">
        <w:rPr>
          <w:rFonts w:ascii="Arial" w:hAnsi="Arial" w:cs="Arial"/>
        </w:rPr>
        <w:t xml:space="preserve"> </w:t>
      </w:r>
      <w:r w:rsidR="009D2544" w:rsidRPr="00706248">
        <w:rPr>
          <w:rStyle w:val="A2"/>
          <w:rFonts w:ascii="Arial" w:hAnsi="Arial" w:cs="Arial"/>
          <w:sz w:val="20"/>
          <w:szCs w:val="20"/>
        </w:rPr>
        <w:t xml:space="preserve">IRENA (2021), </w:t>
      </w:r>
      <w:r w:rsidR="009D2544" w:rsidRPr="00706248">
        <w:rPr>
          <w:rStyle w:val="A2"/>
          <w:rFonts w:ascii="Arial" w:hAnsi="Arial" w:cs="Arial"/>
          <w:i/>
          <w:iCs/>
          <w:sz w:val="20"/>
          <w:szCs w:val="20"/>
        </w:rPr>
        <w:t>A pathway to decarbonise the shipping sector by 2050</w:t>
      </w:r>
      <w:r w:rsidR="009D2544" w:rsidRPr="00706248">
        <w:rPr>
          <w:rStyle w:val="A2"/>
          <w:rFonts w:ascii="Arial" w:hAnsi="Arial" w:cs="Arial"/>
          <w:sz w:val="20"/>
          <w:szCs w:val="20"/>
        </w:rPr>
        <w:t>, International Renewable Energy Agency, Abu Dhabi</w:t>
      </w:r>
      <w:r w:rsidR="009D2544">
        <w:rPr>
          <w:rStyle w:val="A2"/>
          <w:rFonts w:ascii="Arial" w:hAnsi="Arial" w:cs="Arial"/>
          <w:sz w:val="20"/>
          <w:szCs w:val="20"/>
          <w:lang w:val="en-US"/>
        </w:rPr>
        <w:t>, p. 10.</w:t>
      </w:r>
    </w:p>
    <w:p w14:paraId="1E46F3BD" w14:textId="51752675" w:rsidR="0042131D" w:rsidRPr="00706248" w:rsidRDefault="0042131D" w:rsidP="00706248">
      <w:pPr>
        <w:pStyle w:val="FootnoteText"/>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87F"/>
    <w:multiLevelType w:val="hybridMultilevel"/>
    <w:tmpl w:val="A616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72CE2"/>
    <w:multiLevelType w:val="hybridMultilevel"/>
    <w:tmpl w:val="106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25CA7"/>
    <w:multiLevelType w:val="hybridMultilevel"/>
    <w:tmpl w:val="739E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54685"/>
    <w:multiLevelType w:val="hybridMultilevel"/>
    <w:tmpl w:val="5CFED5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8080C93"/>
    <w:multiLevelType w:val="hybridMultilevel"/>
    <w:tmpl w:val="70A4E2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14745273">
    <w:abstractNumId w:val="1"/>
  </w:num>
  <w:num w:numId="2" w16cid:durableId="1782802456">
    <w:abstractNumId w:val="2"/>
  </w:num>
  <w:num w:numId="3" w16cid:durableId="2142461070">
    <w:abstractNumId w:val="0"/>
  </w:num>
  <w:num w:numId="4" w16cid:durableId="567692757">
    <w:abstractNumId w:val="3"/>
  </w:num>
  <w:num w:numId="5" w16cid:durableId="650251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E8"/>
    <w:rsid w:val="00006C33"/>
    <w:rsid w:val="00024106"/>
    <w:rsid w:val="000438AD"/>
    <w:rsid w:val="000448BE"/>
    <w:rsid w:val="00055333"/>
    <w:rsid w:val="00072745"/>
    <w:rsid w:val="00072CDE"/>
    <w:rsid w:val="000A3689"/>
    <w:rsid w:val="000B57FC"/>
    <w:rsid w:val="001037E2"/>
    <w:rsid w:val="00107E6D"/>
    <w:rsid w:val="0011486D"/>
    <w:rsid w:val="00125201"/>
    <w:rsid w:val="00133AFF"/>
    <w:rsid w:val="00171CE2"/>
    <w:rsid w:val="00181C43"/>
    <w:rsid w:val="001911D4"/>
    <w:rsid w:val="001C0A15"/>
    <w:rsid w:val="001C213A"/>
    <w:rsid w:val="001C70F9"/>
    <w:rsid w:val="001E18FE"/>
    <w:rsid w:val="001E49E8"/>
    <w:rsid w:val="001F4385"/>
    <w:rsid w:val="00200C9A"/>
    <w:rsid w:val="0020155E"/>
    <w:rsid w:val="00201863"/>
    <w:rsid w:val="00225D1B"/>
    <w:rsid w:val="0024259B"/>
    <w:rsid w:val="00244222"/>
    <w:rsid w:val="002E2AC6"/>
    <w:rsid w:val="00302211"/>
    <w:rsid w:val="0030442B"/>
    <w:rsid w:val="00310D86"/>
    <w:rsid w:val="003364BF"/>
    <w:rsid w:val="00352494"/>
    <w:rsid w:val="003661C6"/>
    <w:rsid w:val="00391474"/>
    <w:rsid w:val="003A52F0"/>
    <w:rsid w:val="003C0B76"/>
    <w:rsid w:val="003E3C0B"/>
    <w:rsid w:val="003F4C16"/>
    <w:rsid w:val="00401191"/>
    <w:rsid w:val="00405591"/>
    <w:rsid w:val="0042131D"/>
    <w:rsid w:val="00430C92"/>
    <w:rsid w:val="004C2050"/>
    <w:rsid w:val="004C4204"/>
    <w:rsid w:val="004C5D4B"/>
    <w:rsid w:val="004D1276"/>
    <w:rsid w:val="004F0CF4"/>
    <w:rsid w:val="0051238F"/>
    <w:rsid w:val="00517CE4"/>
    <w:rsid w:val="0052019B"/>
    <w:rsid w:val="00525A32"/>
    <w:rsid w:val="00535330"/>
    <w:rsid w:val="005405CE"/>
    <w:rsid w:val="0054426F"/>
    <w:rsid w:val="0055020B"/>
    <w:rsid w:val="005541EF"/>
    <w:rsid w:val="0055783B"/>
    <w:rsid w:val="00561711"/>
    <w:rsid w:val="00570881"/>
    <w:rsid w:val="005740D5"/>
    <w:rsid w:val="00574F49"/>
    <w:rsid w:val="0059195F"/>
    <w:rsid w:val="00592B64"/>
    <w:rsid w:val="005C0D9A"/>
    <w:rsid w:val="005C59DE"/>
    <w:rsid w:val="005D08C7"/>
    <w:rsid w:val="005D3A29"/>
    <w:rsid w:val="005E216F"/>
    <w:rsid w:val="00606F4D"/>
    <w:rsid w:val="00630999"/>
    <w:rsid w:val="00640F6A"/>
    <w:rsid w:val="00651937"/>
    <w:rsid w:val="00692A86"/>
    <w:rsid w:val="0069478C"/>
    <w:rsid w:val="00697015"/>
    <w:rsid w:val="006B7750"/>
    <w:rsid w:val="006D209D"/>
    <w:rsid w:val="006F3E9A"/>
    <w:rsid w:val="00706248"/>
    <w:rsid w:val="007219F5"/>
    <w:rsid w:val="00757E00"/>
    <w:rsid w:val="007609C0"/>
    <w:rsid w:val="00764D8C"/>
    <w:rsid w:val="00770136"/>
    <w:rsid w:val="00776CEA"/>
    <w:rsid w:val="007B0A46"/>
    <w:rsid w:val="007B0D42"/>
    <w:rsid w:val="007C143B"/>
    <w:rsid w:val="007C697B"/>
    <w:rsid w:val="007E3E38"/>
    <w:rsid w:val="008156C6"/>
    <w:rsid w:val="0086409C"/>
    <w:rsid w:val="00893040"/>
    <w:rsid w:val="0089355B"/>
    <w:rsid w:val="00893F96"/>
    <w:rsid w:val="008B1588"/>
    <w:rsid w:val="00906C9E"/>
    <w:rsid w:val="00910E23"/>
    <w:rsid w:val="00927AC1"/>
    <w:rsid w:val="00952654"/>
    <w:rsid w:val="00953322"/>
    <w:rsid w:val="00955593"/>
    <w:rsid w:val="009555AC"/>
    <w:rsid w:val="00961F42"/>
    <w:rsid w:val="0096447C"/>
    <w:rsid w:val="009A4286"/>
    <w:rsid w:val="009D0494"/>
    <w:rsid w:val="009D2544"/>
    <w:rsid w:val="009E123C"/>
    <w:rsid w:val="009F0909"/>
    <w:rsid w:val="00A06891"/>
    <w:rsid w:val="00A23A65"/>
    <w:rsid w:val="00A24D6B"/>
    <w:rsid w:val="00A313FE"/>
    <w:rsid w:val="00A33BE5"/>
    <w:rsid w:val="00A90B08"/>
    <w:rsid w:val="00A91D53"/>
    <w:rsid w:val="00AB25AE"/>
    <w:rsid w:val="00AC1A89"/>
    <w:rsid w:val="00AF23BB"/>
    <w:rsid w:val="00AF5769"/>
    <w:rsid w:val="00B12CB6"/>
    <w:rsid w:val="00B42145"/>
    <w:rsid w:val="00B50458"/>
    <w:rsid w:val="00B66BB3"/>
    <w:rsid w:val="00BA3CB6"/>
    <w:rsid w:val="00BE75F0"/>
    <w:rsid w:val="00C003E8"/>
    <w:rsid w:val="00C31B5D"/>
    <w:rsid w:val="00C53560"/>
    <w:rsid w:val="00C54A4B"/>
    <w:rsid w:val="00C5615A"/>
    <w:rsid w:val="00C97DC5"/>
    <w:rsid w:val="00CA7858"/>
    <w:rsid w:val="00CD60BE"/>
    <w:rsid w:val="00CE7EB7"/>
    <w:rsid w:val="00D0362B"/>
    <w:rsid w:val="00D2684A"/>
    <w:rsid w:val="00D40214"/>
    <w:rsid w:val="00D46230"/>
    <w:rsid w:val="00D56C74"/>
    <w:rsid w:val="00D7398A"/>
    <w:rsid w:val="00E2699C"/>
    <w:rsid w:val="00E31FD5"/>
    <w:rsid w:val="00E43C97"/>
    <w:rsid w:val="00E459F0"/>
    <w:rsid w:val="00E67801"/>
    <w:rsid w:val="00E97237"/>
    <w:rsid w:val="00EB7959"/>
    <w:rsid w:val="00EC41E7"/>
    <w:rsid w:val="00EC59D1"/>
    <w:rsid w:val="00F00A5D"/>
    <w:rsid w:val="00F03A25"/>
    <w:rsid w:val="00F1253D"/>
    <w:rsid w:val="00F14E67"/>
    <w:rsid w:val="00F17899"/>
    <w:rsid w:val="00F3452F"/>
    <w:rsid w:val="00F45046"/>
    <w:rsid w:val="00F46086"/>
    <w:rsid w:val="00F508D0"/>
    <w:rsid w:val="00F77128"/>
    <w:rsid w:val="00F8500E"/>
    <w:rsid w:val="00F854E6"/>
    <w:rsid w:val="00F974D9"/>
    <w:rsid w:val="00FB063A"/>
    <w:rsid w:val="00FB1853"/>
    <w:rsid w:val="00FB2990"/>
    <w:rsid w:val="00FB3E02"/>
    <w:rsid w:val="00FD02B4"/>
    <w:rsid w:val="00FD0BD2"/>
    <w:rsid w:val="00FE1A46"/>
    <w:rsid w:val="00FF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45FE2"/>
  <w15:chartTrackingRefBased/>
  <w15:docId w15:val="{DD68C497-1100-4DBD-9F89-FB1CAEEE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BD2"/>
    <w:rPr>
      <w:color w:val="0563C1" w:themeColor="hyperlink"/>
      <w:u w:val="single"/>
    </w:rPr>
  </w:style>
  <w:style w:type="character" w:styleId="UnresolvedMention">
    <w:name w:val="Unresolved Mention"/>
    <w:basedOn w:val="DefaultParagraphFont"/>
    <w:uiPriority w:val="99"/>
    <w:semiHidden/>
    <w:unhideWhenUsed/>
    <w:rsid w:val="00FD0BD2"/>
    <w:rPr>
      <w:color w:val="605E5C"/>
      <w:shd w:val="clear" w:color="auto" w:fill="E1DFDD"/>
    </w:rPr>
  </w:style>
  <w:style w:type="paragraph" w:styleId="Header">
    <w:name w:val="header"/>
    <w:basedOn w:val="Normal"/>
    <w:link w:val="HeaderChar"/>
    <w:uiPriority w:val="99"/>
    <w:unhideWhenUsed/>
    <w:rsid w:val="003A5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F0"/>
  </w:style>
  <w:style w:type="paragraph" w:styleId="Footer">
    <w:name w:val="footer"/>
    <w:basedOn w:val="Normal"/>
    <w:link w:val="FooterChar"/>
    <w:uiPriority w:val="99"/>
    <w:unhideWhenUsed/>
    <w:rsid w:val="003A5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2F0"/>
  </w:style>
  <w:style w:type="paragraph" w:styleId="ListParagraph">
    <w:name w:val="List Paragraph"/>
    <w:basedOn w:val="Normal"/>
    <w:uiPriority w:val="34"/>
    <w:qFormat/>
    <w:rsid w:val="003A52F0"/>
    <w:pPr>
      <w:ind w:left="720"/>
      <w:contextualSpacing/>
    </w:pPr>
  </w:style>
  <w:style w:type="paragraph" w:styleId="FootnoteText">
    <w:name w:val="footnote text"/>
    <w:basedOn w:val="Normal"/>
    <w:link w:val="FootnoteTextChar"/>
    <w:uiPriority w:val="99"/>
    <w:semiHidden/>
    <w:unhideWhenUsed/>
    <w:rsid w:val="004C4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204"/>
    <w:rPr>
      <w:sz w:val="20"/>
      <w:szCs w:val="20"/>
    </w:rPr>
  </w:style>
  <w:style w:type="character" w:styleId="FootnoteReference">
    <w:name w:val="footnote reference"/>
    <w:basedOn w:val="DefaultParagraphFont"/>
    <w:uiPriority w:val="99"/>
    <w:semiHidden/>
    <w:unhideWhenUsed/>
    <w:rsid w:val="004C4204"/>
    <w:rPr>
      <w:vertAlign w:val="superscript"/>
    </w:rPr>
  </w:style>
  <w:style w:type="paragraph" w:styleId="Revision">
    <w:name w:val="Revision"/>
    <w:hidden/>
    <w:uiPriority w:val="99"/>
    <w:semiHidden/>
    <w:rsid w:val="00FE1A46"/>
    <w:pPr>
      <w:spacing w:after="0" w:line="240" w:lineRule="auto"/>
    </w:pPr>
  </w:style>
  <w:style w:type="character" w:customStyle="1" w:styleId="Heading1Char">
    <w:name w:val="Heading 1 Char"/>
    <w:basedOn w:val="DefaultParagraphFont"/>
    <w:link w:val="Heading1"/>
    <w:uiPriority w:val="9"/>
    <w:rsid w:val="005D08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B063A"/>
    <w:pPr>
      <w:spacing w:after="0" w:line="240" w:lineRule="auto"/>
    </w:pPr>
    <w:rPr>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0">
    <w:name w:val="A20"/>
    <w:uiPriority w:val="99"/>
    <w:rsid w:val="0042131D"/>
    <w:rPr>
      <w:rFonts w:cs="Gotham Narrow Bold"/>
      <w:color w:val="000000"/>
      <w:sz w:val="12"/>
      <w:szCs w:val="12"/>
    </w:rPr>
  </w:style>
  <w:style w:type="paragraph" w:customStyle="1" w:styleId="Default">
    <w:name w:val="Default"/>
    <w:rsid w:val="009D2544"/>
    <w:pPr>
      <w:autoSpaceDE w:val="0"/>
      <w:autoSpaceDN w:val="0"/>
      <w:adjustRightInd w:val="0"/>
      <w:spacing w:after="0" w:line="240" w:lineRule="auto"/>
    </w:pPr>
    <w:rPr>
      <w:rFonts w:ascii="Gotham Narrow Book" w:hAnsi="Gotham Narrow Book" w:cs="Gotham Narrow Book"/>
      <w:color w:val="000000"/>
      <w:sz w:val="24"/>
      <w:szCs w:val="24"/>
      <w:lang/>
    </w:rPr>
  </w:style>
  <w:style w:type="character" w:customStyle="1" w:styleId="A2">
    <w:name w:val="A2"/>
    <w:uiPriority w:val="99"/>
    <w:rsid w:val="009D2544"/>
    <w:rPr>
      <w:rFonts w:cs="Gotham Narrow Book"/>
      <w:color w:val="000000"/>
    </w:rPr>
  </w:style>
  <w:style w:type="paragraph" w:styleId="TOCHeading">
    <w:name w:val="TOC Heading"/>
    <w:basedOn w:val="Heading1"/>
    <w:next w:val="Normal"/>
    <w:uiPriority w:val="39"/>
    <w:unhideWhenUsed/>
    <w:qFormat/>
    <w:rsid w:val="00A90B08"/>
    <w:pPr>
      <w:outlineLvl w:val="9"/>
    </w:pPr>
  </w:style>
  <w:style w:type="paragraph" w:styleId="TOC1">
    <w:name w:val="toc 1"/>
    <w:basedOn w:val="Normal"/>
    <w:next w:val="Normal"/>
    <w:autoRedefine/>
    <w:uiPriority w:val="39"/>
    <w:unhideWhenUsed/>
    <w:rsid w:val="00A90B0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business/2022/nov/30/airbus-boss-warn-delay-decarbonising-airline-industry-hydrogen-sustainable-aviation-fuel" TargetMode="External"/><Relationship Id="rId1" Type="http://schemas.openxmlformats.org/officeDocument/2006/relationships/hyperlink" Target="https://www.airbus.com/en/sustainability/respecting-the-planet/decarbo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A7032CE079D47945FB0AF4430FA33" ma:contentTypeVersion="16" ma:contentTypeDescription="Create a new document." ma:contentTypeScope="" ma:versionID="986a634389ec73081e0b8f50c87babb4">
  <xsd:schema xmlns:xsd="http://www.w3.org/2001/XMLSchema" xmlns:xs="http://www.w3.org/2001/XMLSchema" xmlns:p="http://schemas.microsoft.com/office/2006/metadata/properties" xmlns:ns2="349c1967-3c0a-4f73-ad7f-c386b30ea37c" xmlns:ns3="6f69a6fe-892c-4aa6-b190-2b1c56127db9" targetNamespace="http://schemas.microsoft.com/office/2006/metadata/properties" ma:root="true" ma:fieldsID="756488d9250c80f7c59f80f20085297c" ns2:_="" ns3:_="">
    <xsd:import namespace="349c1967-3c0a-4f73-ad7f-c386b30ea37c"/>
    <xsd:import namespace="6f69a6fe-892c-4aa6-b190-2b1c56127d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1967-3c0a-4f73-ad7f-c386b30ea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1f6403-0513-4059-b526-4d07eced00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9a6fe-892c-4aa6-b190-2b1c56127d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a45c01-0890-473a-8f94-478599841021}" ma:internalName="TaxCatchAll" ma:showField="CatchAllData" ma:web="6f69a6fe-892c-4aa6-b190-2b1c56127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B26D-EDFD-4122-8444-60CEAB1CF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1967-3c0a-4f73-ad7f-c386b30ea37c"/>
    <ds:schemaRef ds:uri="6f69a6fe-892c-4aa6-b190-2b1c56127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7AE41-9A0B-4F0C-BB8B-1D6F144F0DEF}">
  <ds:schemaRefs>
    <ds:schemaRef ds:uri="http://schemas.openxmlformats.org/officeDocument/2006/bibliography"/>
  </ds:schemaRefs>
</ds:datastoreItem>
</file>

<file path=customXml/itemProps3.xml><?xml version="1.0" encoding="utf-8"?>
<ds:datastoreItem xmlns:ds="http://schemas.openxmlformats.org/officeDocument/2006/customXml" ds:itemID="{87A88D20-1CE3-44EB-BBF8-09F07019F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mikelis</dc:creator>
  <cp:keywords/>
  <dc:description/>
  <cp:lastModifiedBy>Irene Mikelis</cp:lastModifiedBy>
  <cp:revision>2</cp:revision>
  <dcterms:created xsi:type="dcterms:W3CDTF">2026-05-08T06:17:00Z</dcterms:created>
  <dcterms:modified xsi:type="dcterms:W3CDTF">2026-05-08T06:17:00Z</dcterms:modified>
</cp:coreProperties>
</file>