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F017" w14:textId="36222FD6" w:rsidR="00DA61EB" w:rsidRDefault="00DA61EB" w:rsidP="00DA61EB">
      <w:pPr>
        <w:rPr>
          <w:lang w:val="en-US"/>
        </w:rPr>
      </w:pPr>
    </w:p>
    <w:p w14:paraId="589205C6" w14:textId="77777777" w:rsidR="00C109E4" w:rsidRPr="00583E66" w:rsidRDefault="00C109E4" w:rsidP="00DA61EB">
      <w:pPr>
        <w:rPr>
          <w:lang w:val="el-GR"/>
        </w:rPr>
      </w:pPr>
    </w:p>
    <w:p w14:paraId="34D47D9E" w14:textId="77777777" w:rsidR="00DA61EB" w:rsidRDefault="00DA61EB" w:rsidP="00DA61EB"/>
    <w:p w14:paraId="56E3F961" w14:textId="77777777" w:rsidR="00DA61EB" w:rsidRDefault="00DA61EB" w:rsidP="00DA61EB"/>
    <w:p w14:paraId="02E2D60F" w14:textId="77777777" w:rsidR="00DA61EB" w:rsidRDefault="00DA61EB" w:rsidP="00DA61EB"/>
    <w:p w14:paraId="533AAC6E" w14:textId="77777777" w:rsidR="00DA61EB" w:rsidRDefault="00DA61EB" w:rsidP="00DA61EB"/>
    <w:p w14:paraId="0CF5CD89" w14:textId="2432DBB4" w:rsidR="00DA61EB" w:rsidRDefault="00DA61EB" w:rsidP="00DA61EB"/>
    <w:p w14:paraId="0449BB9A" w14:textId="77777777" w:rsidR="00A402F6" w:rsidRDefault="00A402F6" w:rsidP="00DA61EB">
      <w:pPr>
        <w:rPr>
          <w:rFonts w:ascii="Arial" w:hAnsi="Arial" w:cs="Arial"/>
          <w:sz w:val="36"/>
          <w:szCs w:val="36"/>
          <w:lang w:val="mt-MT"/>
        </w:rPr>
      </w:pPr>
    </w:p>
    <w:p w14:paraId="4CDAB585" w14:textId="3D5566DB" w:rsidR="00DA61EB" w:rsidRDefault="00A402F6" w:rsidP="00DA61EB">
      <w:pPr>
        <w:rPr>
          <w:rFonts w:ascii="Arial" w:hAnsi="Arial" w:cs="Arial"/>
          <w:sz w:val="36"/>
          <w:szCs w:val="36"/>
          <w:lang w:val="mt-MT"/>
        </w:rPr>
      </w:pPr>
      <w:r>
        <w:rPr>
          <w:noProof/>
        </w:rPr>
        <mc:AlternateContent>
          <mc:Choice Requires="wps">
            <w:drawing>
              <wp:anchor distT="0" distB="0" distL="114300" distR="114300" simplePos="0" relativeHeight="251660288" behindDoc="0" locked="0" layoutInCell="1" allowOverlap="1" wp14:anchorId="02209BA8" wp14:editId="2D50F51F">
                <wp:simplePos x="0" y="0"/>
                <wp:positionH relativeFrom="margin">
                  <wp:align>right</wp:align>
                </wp:positionH>
                <wp:positionV relativeFrom="paragraph">
                  <wp:posOffset>1168991</wp:posOffset>
                </wp:positionV>
                <wp:extent cx="5703683" cy="27160"/>
                <wp:effectExtent l="0" t="0" r="30480" b="30480"/>
                <wp:wrapNone/>
                <wp:docPr id="2" name="Straight Connector 2"/>
                <wp:cNvGraphicFramePr/>
                <a:graphic xmlns:a="http://schemas.openxmlformats.org/drawingml/2006/main">
                  <a:graphicData uri="http://schemas.microsoft.com/office/word/2010/wordprocessingShape">
                    <wps:wsp>
                      <wps:cNvCnPr/>
                      <wps:spPr>
                        <a:xfrm flipV="1">
                          <a:off x="0" y="0"/>
                          <a:ext cx="5703683" cy="2716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BF9B4"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9pt,92.05pt" to="847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" strokecolor="#4472c4 [3204]" strokeweight="1.5pt">
                <v:stroke joinstyle="miter"/>
                <w10:wrap anchorx="margin"/>
              </v:line>
            </w:pict>
          </mc:Fallback>
        </mc:AlternateContent>
      </w:r>
      <w:r w:rsidR="008D7343">
        <w:rPr>
          <w:rFonts w:ascii="Arial" w:hAnsi="Arial" w:cs="Arial"/>
          <w:sz w:val="36"/>
          <w:szCs w:val="36"/>
          <w:lang w:val="mt-MT"/>
        </w:rPr>
        <w:t xml:space="preserve">Commission Regulation </w:t>
      </w:r>
      <w:r w:rsidR="00571247">
        <w:rPr>
          <w:rFonts w:ascii="Arial" w:hAnsi="Arial" w:cs="Arial"/>
          <w:sz w:val="36"/>
          <w:szCs w:val="36"/>
          <w:lang w:val="mt-MT"/>
        </w:rPr>
        <w:t>amending Regulation (EU) No 651/2014 declaring certain categories of aid compatible with the internal market</w:t>
      </w:r>
      <w:r>
        <w:rPr>
          <w:rFonts w:ascii="Arial" w:hAnsi="Arial" w:cs="Arial"/>
          <w:sz w:val="36"/>
          <w:szCs w:val="36"/>
          <w:lang w:val="mt-MT"/>
        </w:rPr>
        <w:t xml:space="preserve"> in the application of Article 108 and 108 of the Treaty</w:t>
      </w:r>
    </w:p>
    <w:p w14:paraId="7D72845B" w14:textId="006A16AF" w:rsidR="00DA61EB" w:rsidRDefault="00C5427F" w:rsidP="00DA61EB">
      <w:pPr>
        <w:rPr>
          <w:rFonts w:ascii="Arial" w:hAnsi="Arial" w:cs="Arial"/>
          <w:sz w:val="36"/>
          <w:szCs w:val="36"/>
          <w:lang w:val="mt-MT"/>
        </w:rPr>
      </w:pPr>
      <w:r>
        <w:rPr>
          <w:rFonts w:ascii="Arial" w:hAnsi="Arial" w:cs="Arial"/>
          <w:sz w:val="36"/>
          <w:szCs w:val="36"/>
          <w:lang w:val="mt-MT"/>
        </w:rPr>
        <w:t>December</w:t>
      </w:r>
      <w:r w:rsidR="002D0D28">
        <w:rPr>
          <w:rFonts w:ascii="Arial" w:hAnsi="Arial" w:cs="Arial"/>
          <w:sz w:val="36"/>
          <w:szCs w:val="36"/>
          <w:lang w:val="mt-MT"/>
        </w:rPr>
        <w:t xml:space="preserve"> 2021</w:t>
      </w:r>
    </w:p>
    <w:p w14:paraId="2D4C9D7B" w14:textId="275C65A8" w:rsidR="00DA61EB" w:rsidRDefault="00583E66" w:rsidP="00DA61EB">
      <w:pPr>
        <w:rPr>
          <w:rFonts w:ascii="Arial" w:hAnsi="Arial" w:cs="Arial"/>
          <w:sz w:val="20"/>
          <w:szCs w:val="20"/>
          <w:lang w:val="mt-MT"/>
        </w:rPr>
      </w:pPr>
      <w:r>
        <w:rPr>
          <w:rFonts w:ascii="Arial" w:hAnsi="Arial" w:cs="Arial"/>
          <w:sz w:val="20"/>
          <w:szCs w:val="20"/>
          <w:lang w:val="en-US"/>
        </w:rPr>
        <w:t>INSULEUR’s</w:t>
      </w:r>
      <w:r w:rsidR="00DA61EB">
        <w:rPr>
          <w:rFonts w:ascii="Arial" w:hAnsi="Arial" w:cs="Arial"/>
          <w:sz w:val="20"/>
          <w:szCs w:val="20"/>
          <w:lang w:val="mt-MT"/>
        </w:rPr>
        <w:t xml:space="preserve"> Feedback to the </w:t>
      </w:r>
      <w:r w:rsidR="002D0D28">
        <w:rPr>
          <w:rFonts w:ascii="Arial" w:hAnsi="Arial" w:cs="Arial"/>
          <w:sz w:val="20"/>
          <w:szCs w:val="20"/>
          <w:lang w:val="mt-MT"/>
        </w:rPr>
        <w:t>proposed Commission Regulation</w:t>
      </w:r>
    </w:p>
    <w:p w14:paraId="6F424C6D" w14:textId="77777777" w:rsidR="00DA61EB" w:rsidRDefault="00DA61EB" w:rsidP="00DA61EB">
      <w:pPr>
        <w:rPr>
          <w:rFonts w:ascii="Arial" w:hAnsi="Arial" w:cs="Arial"/>
          <w:sz w:val="20"/>
          <w:szCs w:val="20"/>
          <w:lang w:val="mt-MT"/>
        </w:rPr>
      </w:pPr>
    </w:p>
    <w:p w14:paraId="6153496C" w14:textId="40054D6F" w:rsidR="00DA61EB" w:rsidRDefault="00DA61EB" w:rsidP="00DA61EB">
      <w:pPr>
        <w:rPr>
          <w:rFonts w:ascii="Arial" w:hAnsi="Arial" w:cs="Arial"/>
          <w:sz w:val="20"/>
          <w:szCs w:val="20"/>
          <w:lang w:val="mt-MT"/>
        </w:rPr>
      </w:pPr>
    </w:p>
    <w:tbl>
      <w:tblPr>
        <w:tblStyle w:val="TableGrid"/>
        <w:tblpPr w:leftFromText="180" w:rightFromText="180" w:vertAnchor="text" w:horzAnchor="margin" w:tblpY="185"/>
        <w:tblW w:w="0" w:type="auto"/>
        <w:tblLook w:val="04A0" w:firstRow="1" w:lastRow="0" w:firstColumn="1" w:lastColumn="0" w:noHBand="0" w:noVBand="1"/>
      </w:tblPr>
      <w:tblGrid>
        <w:gridCol w:w="2409"/>
        <w:gridCol w:w="2409"/>
      </w:tblGrid>
      <w:tr w:rsidR="005A4EB4" w14:paraId="56B49116" w14:textId="77777777" w:rsidTr="005A4EB4">
        <w:trPr>
          <w:trHeight w:val="271"/>
        </w:trPr>
        <w:tc>
          <w:tcPr>
            <w:tcW w:w="2409" w:type="dxa"/>
          </w:tcPr>
          <w:p w14:paraId="2B86877C" w14:textId="77777777" w:rsidR="005A4EB4" w:rsidRDefault="005A4EB4" w:rsidP="005A4EB4">
            <w:pPr>
              <w:rPr>
                <w:rFonts w:ascii="Arial" w:hAnsi="Arial" w:cs="Arial"/>
                <w:sz w:val="20"/>
                <w:szCs w:val="20"/>
                <w:lang w:val="mt-MT"/>
              </w:rPr>
            </w:pPr>
            <w:r w:rsidRPr="000A19BB">
              <w:rPr>
                <w:rFonts w:ascii="Arial" w:hAnsi="Arial" w:cs="Arial"/>
                <w:b/>
                <w:bCs/>
                <w:sz w:val="20"/>
                <w:szCs w:val="20"/>
                <w:lang w:val="mt-MT"/>
              </w:rPr>
              <w:t>Date</w:t>
            </w:r>
            <w:r>
              <w:rPr>
                <w:rFonts w:ascii="Arial" w:hAnsi="Arial" w:cs="Arial"/>
                <w:sz w:val="20"/>
                <w:szCs w:val="20"/>
                <w:lang w:val="mt-MT"/>
              </w:rPr>
              <w:t>:</w:t>
            </w:r>
          </w:p>
        </w:tc>
        <w:tc>
          <w:tcPr>
            <w:tcW w:w="2409" w:type="dxa"/>
          </w:tcPr>
          <w:p w14:paraId="63087670" w14:textId="69AEE223" w:rsidR="005A4EB4" w:rsidRDefault="00583E66" w:rsidP="005A4EB4">
            <w:pPr>
              <w:rPr>
                <w:rFonts w:ascii="Arial" w:hAnsi="Arial" w:cs="Arial"/>
                <w:sz w:val="20"/>
                <w:szCs w:val="20"/>
                <w:lang w:val="mt-MT"/>
              </w:rPr>
            </w:pPr>
            <w:r>
              <w:rPr>
                <w:rFonts w:ascii="Arial" w:hAnsi="Arial" w:cs="Arial"/>
                <w:sz w:val="20"/>
                <w:szCs w:val="20"/>
                <w:lang w:val="mt-MT"/>
              </w:rPr>
              <w:t>03</w:t>
            </w:r>
            <w:r w:rsidR="005A4EB4">
              <w:rPr>
                <w:rFonts w:ascii="Arial" w:hAnsi="Arial" w:cs="Arial"/>
                <w:sz w:val="20"/>
                <w:szCs w:val="20"/>
                <w:lang w:val="mt-MT"/>
              </w:rPr>
              <w:t>/1</w:t>
            </w:r>
            <w:r>
              <w:rPr>
                <w:rFonts w:ascii="Arial" w:hAnsi="Arial" w:cs="Arial"/>
                <w:sz w:val="20"/>
                <w:szCs w:val="20"/>
                <w:lang w:val="mt-MT"/>
              </w:rPr>
              <w:t>2</w:t>
            </w:r>
            <w:r w:rsidR="005A4EB4">
              <w:rPr>
                <w:rFonts w:ascii="Arial" w:hAnsi="Arial" w:cs="Arial"/>
                <w:sz w:val="20"/>
                <w:szCs w:val="20"/>
                <w:lang w:val="mt-MT"/>
              </w:rPr>
              <w:t>/21</w:t>
            </w:r>
          </w:p>
        </w:tc>
      </w:tr>
      <w:tr w:rsidR="005A4EB4" w14:paraId="2843730D" w14:textId="77777777" w:rsidTr="005A4EB4">
        <w:trPr>
          <w:trHeight w:val="271"/>
        </w:trPr>
        <w:tc>
          <w:tcPr>
            <w:tcW w:w="2409" w:type="dxa"/>
          </w:tcPr>
          <w:p w14:paraId="682ED022" w14:textId="77777777" w:rsidR="005A4EB4" w:rsidRDefault="005A4EB4" w:rsidP="005A4EB4">
            <w:pPr>
              <w:rPr>
                <w:rFonts w:ascii="Arial" w:hAnsi="Arial" w:cs="Arial"/>
                <w:sz w:val="20"/>
                <w:szCs w:val="20"/>
                <w:lang w:val="mt-MT"/>
              </w:rPr>
            </w:pPr>
          </w:p>
        </w:tc>
        <w:tc>
          <w:tcPr>
            <w:tcW w:w="2409" w:type="dxa"/>
          </w:tcPr>
          <w:p w14:paraId="66F38BB4" w14:textId="2363D8A6" w:rsidR="005A4EB4" w:rsidRDefault="005A4EB4" w:rsidP="005A4EB4">
            <w:pPr>
              <w:rPr>
                <w:rFonts w:ascii="Arial" w:hAnsi="Arial" w:cs="Arial"/>
                <w:sz w:val="20"/>
                <w:szCs w:val="20"/>
                <w:lang w:val="mt-MT"/>
              </w:rPr>
            </w:pPr>
          </w:p>
        </w:tc>
      </w:tr>
      <w:tr w:rsidR="005A4EB4" w14:paraId="66EE2790" w14:textId="77777777" w:rsidTr="005A4EB4">
        <w:trPr>
          <w:trHeight w:val="271"/>
        </w:trPr>
        <w:tc>
          <w:tcPr>
            <w:tcW w:w="2409" w:type="dxa"/>
          </w:tcPr>
          <w:p w14:paraId="3EA17A76" w14:textId="77777777" w:rsidR="005A4EB4" w:rsidRDefault="005A4EB4" w:rsidP="005A4EB4">
            <w:pPr>
              <w:rPr>
                <w:rFonts w:ascii="Arial" w:hAnsi="Arial" w:cs="Arial"/>
                <w:sz w:val="20"/>
                <w:szCs w:val="20"/>
                <w:lang w:val="mt-MT"/>
              </w:rPr>
            </w:pPr>
            <w:r w:rsidRPr="000A19BB">
              <w:rPr>
                <w:rFonts w:ascii="Arial" w:hAnsi="Arial" w:cs="Arial"/>
                <w:b/>
                <w:bCs/>
                <w:sz w:val="20"/>
                <w:szCs w:val="20"/>
                <w:lang w:val="mt-MT"/>
              </w:rPr>
              <w:t>Feedback compiled by</w:t>
            </w:r>
            <w:r>
              <w:rPr>
                <w:rFonts w:ascii="Arial" w:hAnsi="Arial" w:cs="Arial"/>
                <w:sz w:val="20"/>
                <w:szCs w:val="20"/>
                <w:lang w:val="mt-MT"/>
              </w:rPr>
              <w:t>:</w:t>
            </w:r>
          </w:p>
        </w:tc>
        <w:tc>
          <w:tcPr>
            <w:tcW w:w="2409" w:type="dxa"/>
          </w:tcPr>
          <w:p w14:paraId="53E3D84F" w14:textId="6937225F" w:rsidR="005A4EB4" w:rsidRDefault="00583E66" w:rsidP="005A4EB4">
            <w:pPr>
              <w:rPr>
                <w:rFonts w:ascii="Arial" w:hAnsi="Arial" w:cs="Arial"/>
                <w:sz w:val="20"/>
                <w:szCs w:val="20"/>
                <w:lang w:val="mt-MT"/>
              </w:rPr>
            </w:pPr>
            <w:r>
              <w:rPr>
                <w:rFonts w:ascii="Arial" w:hAnsi="Arial" w:cs="Arial"/>
                <w:sz w:val="20"/>
                <w:szCs w:val="20"/>
                <w:lang w:val="mt-MT"/>
              </w:rPr>
              <w:t>Joseph Borg</w:t>
            </w:r>
            <w:r w:rsidR="005A4EB4">
              <w:rPr>
                <w:rFonts w:ascii="Arial" w:hAnsi="Arial" w:cs="Arial"/>
                <w:sz w:val="20"/>
                <w:szCs w:val="20"/>
                <w:lang w:val="mt-MT"/>
              </w:rPr>
              <w:t xml:space="preserve">, </w:t>
            </w:r>
            <w:r>
              <w:rPr>
                <w:rFonts w:ascii="Arial" w:hAnsi="Arial" w:cs="Arial"/>
                <w:sz w:val="20"/>
                <w:szCs w:val="20"/>
                <w:lang w:val="mt-MT"/>
              </w:rPr>
              <w:t>President of INSULEUR</w:t>
            </w:r>
          </w:p>
        </w:tc>
      </w:tr>
      <w:tr w:rsidR="005A4EB4" w14:paraId="1F5DC3A9" w14:textId="77777777" w:rsidTr="005A4EB4">
        <w:trPr>
          <w:trHeight w:val="271"/>
        </w:trPr>
        <w:tc>
          <w:tcPr>
            <w:tcW w:w="2409" w:type="dxa"/>
          </w:tcPr>
          <w:p w14:paraId="5970A97C" w14:textId="77777777" w:rsidR="005A4EB4" w:rsidRDefault="005A4EB4" w:rsidP="005A4EB4">
            <w:pPr>
              <w:rPr>
                <w:rFonts w:ascii="Arial" w:hAnsi="Arial" w:cs="Arial"/>
                <w:sz w:val="20"/>
                <w:szCs w:val="20"/>
                <w:lang w:val="mt-MT"/>
              </w:rPr>
            </w:pPr>
          </w:p>
        </w:tc>
        <w:tc>
          <w:tcPr>
            <w:tcW w:w="2409" w:type="dxa"/>
          </w:tcPr>
          <w:p w14:paraId="5222E2A5" w14:textId="77777777" w:rsidR="005A4EB4" w:rsidRDefault="005A4EB4" w:rsidP="005A4EB4">
            <w:pPr>
              <w:rPr>
                <w:rFonts w:ascii="Arial" w:hAnsi="Arial" w:cs="Arial"/>
                <w:sz w:val="20"/>
                <w:szCs w:val="20"/>
                <w:lang w:val="mt-MT"/>
              </w:rPr>
            </w:pPr>
          </w:p>
        </w:tc>
      </w:tr>
    </w:tbl>
    <w:p w14:paraId="53348FCC" w14:textId="5CCE1EE5" w:rsidR="00DA61EB" w:rsidRDefault="00583E66" w:rsidP="00DA61EB">
      <w:pPr>
        <w:rPr>
          <w:rFonts w:ascii="Arial" w:hAnsi="Arial" w:cs="Arial"/>
          <w:sz w:val="20"/>
          <w:szCs w:val="20"/>
          <w:lang w:val="mt-MT"/>
        </w:rPr>
      </w:pPr>
      <w:r>
        <w:rPr>
          <w:rFonts w:ascii="Arial" w:hAnsi="Arial" w:cs="Arial"/>
          <w:noProof/>
          <w:sz w:val="20"/>
          <w:szCs w:val="20"/>
          <w:lang w:val="mt-MT"/>
        </w:rPr>
        <w:drawing>
          <wp:anchor distT="0" distB="0" distL="114300" distR="114300" simplePos="0" relativeHeight="251661312" behindDoc="0" locked="0" layoutInCell="1" allowOverlap="1" wp14:anchorId="66BC89E4" wp14:editId="4DB19835">
            <wp:simplePos x="0" y="0"/>
            <wp:positionH relativeFrom="column">
              <wp:posOffset>4337050</wp:posOffset>
            </wp:positionH>
            <wp:positionV relativeFrom="paragraph">
              <wp:posOffset>-238760</wp:posOffset>
            </wp:positionV>
            <wp:extent cx="1057137" cy="13320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57137" cy="1332000"/>
                    </a:xfrm>
                    <a:prstGeom prst="rect">
                      <a:avLst/>
                    </a:prstGeom>
                  </pic:spPr>
                </pic:pic>
              </a:graphicData>
            </a:graphic>
            <wp14:sizeRelH relativeFrom="page">
              <wp14:pctWidth>0</wp14:pctWidth>
            </wp14:sizeRelH>
            <wp14:sizeRelV relativeFrom="page">
              <wp14:pctHeight>0</wp14:pctHeight>
            </wp14:sizeRelV>
          </wp:anchor>
        </w:drawing>
      </w:r>
    </w:p>
    <w:p w14:paraId="227D5D9A" w14:textId="6E065828" w:rsidR="00DA61EB" w:rsidRDefault="00DA61EB" w:rsidP="00DA61EB">
      <w:pPr>
        <w:rPr>
          <w:rFonts w:ascii="Arial" w:hAnsi="Arial" w:cs="Arial"/>
          <w:sz w:val="20"/>
          <w:szCs w:val="20"/>
          <w:lang w:val="mt-MT"/>
        </w:rPr>
      </w:pPr>
    </w:p>
    <w:p w14:paraId="3E7CA447" w14:textId="77777777" w:rsidR="00DA61EB" w:rsidRDefault="00DA61EB" w:rsidP="00DA61EB">
      <w:pPr>
        <w:rPr>
          <w:rFonts w:ascii="Arial" w:hAnsi="Arial" w:cs="Arial"/>
          <w:sz w:val="20"/>
          <w:szCs w:val="20"/>
          <w:lang w:val="mt-MT"/>
        </w:rPr>
      </w:pPr>
    </w:p>
    <w:p w14:paraId="4EB70EA2" w14:textId="77777777" w:rsidR="00DA61EB" w:rsidRDefault="00DA61EB" w:rsidP="00DA61EB">
      <w:pPr>
        <w:jc w:val="both"/>
        <w:rPr>
          <w:rFonts w:ascii="Arial" w:hAnsi="Arial" w:cs="Arial"/>
          <w:b/>
          <w:bCs/>
          <w:sz w:val="20"/>
          <w:szCs w:val="20"/>
          <w:lang w:val="mt-MT"/>
        </w:rPr>
      </w:pPr>
    </w:p>
    <w:p w14:paraId="6C671AC7" w14:textId="77777777" w:rsidR="0009410A" w:rsidRDefault="0009410A" w:rsidP="006B0B90">
      <w:pPr>
        <w:ind w:left="720" w:hanging="360"/>
        <w:jc w:val="both"/>
        <w:rPr>
          <w:rFonts w:ascii="Arial" w:hAnsi="Arial" w:cs="Arial"/>
          <w:lang w:val="mt-MT"/>
        </w:rPr>
        <w:sectPr w:rsidR="0009410A">
          <w:pgSz w:w="11906" w:h="16838"/>
          <w:pgMar w:top="1440" w:right="1440" w:bottom="1440" w:left="1440" w:header="708" w:footer="708" w:gutter="0"/>
          <w:cols w:space="708"/>
          <w:docGrid w:linePitch="360"/>
        </w:sectPr>
      </w:pPr>
    </w:p>
    <w:p w14:paraId="759532BE" w14:textId="3B26B5CD" w:rsidR="0009410A" w:rsidRPr="0009410A" w:rsidRDefault="00583E66" w:rsidP="0009410A">
      <w:pPr>
        <w:pStyle w:val="ListParagraph"/>
        <w:numPr>
          <w:ilvl w:val="0"/>
          <w:numId w:val="2"/>
        </w:numPr>
        <w:pBdr>
          <w:bottom w:val="single" w:sz="4" w:space="1" w:color="auto"/>
        </w:pBdr>
        <w:jc w:val="both"/>
        <w:rPr>
          <w:rFonts w:ascii="Arial" w:hAnsi="Arial" w:cs="Arial"/>
          <w:b/>
          <w:bCs/>
          <w:lang w:val="mt-MT"/>
        </w:rPr>
      </w:pPr>
      <w:r>
        <w:rPr>
          <w:rFonts w:ascii="Arial" w:hAnsi="Arial" w:cs="Arial"/>
          <w:b/>
          <w:bCs/>
          <w:lang w:val="mt-MT"/>
        </w:rPr>
        <w:lastRenderedPageBreak/>
        <w:t>INSULEUR’s</w:t>
      </w:r>
      <w:r w:rsidR="0009410A">
        <w:rPr>
          <w:rFonts w:ascii="Arial" w:hAnsi="Arial" w:cs="Arial"/>
          <w:b/>
          <w:bCs/>
          <w:lang w:val="mt-MT"/>
        </w:rPr>
        <w:t xml:space="preserve"> feedback</w:t>
      </w:r>
    </w:p>
    <w:p w14:paraId="6A65D86E" w14:textId="7E0577D4" w:rsidR="004B31E5" w:rsidRPr="004B31E5" w:rsidRDefault="004B31E5" w:rsidP="006B0B90">
      <w:pPr>
        <w:ind w:left="720" w:hanging="360"/>
        <w:jc w:val="both"/>
        <w:rPr>
          <w:rFonts w:ascii="Arial" w:hAnsi="Arial" w:cs="Arial"/>
          <w:lang w:val="mt-MT"/>
        </w:rPr>
      </w:pPr>
      <w:r w:rsidRPr="004B31E5">
        <w:rPr>
          <w:rFonts w:ascii="Arial" w:hAnsi="Arial" w:cs="Arial"/>
          <w:lang w:val="mt-MT"/>
        </w:rPr>
        <w:t>Kindl</w:t>
      </w:r>
      <w:r>
        <w:rPr>
          <w:rFonts w:ascii="Arial" w:hAnsi="Arial" w:cs="Arial"/>
          <w:lang w:val="mt-MT"/>
        </w:rPr>
        <w:t>y find below the main points</w:t>
      </w:r>
      <w:r w:rsidR="008172D1">
        <w:rPr>
          <w:rFonts w:ascii="Arial" w:hAnsi="Arial" w:cs="Arial"/>
          <w:lang w:val="mt-MT"/>
        </w:rPr>
        <w:t xml:space="preserve">, which </w:t>
      </w:r>
      <w:r w:rsidR="00583E66">
        <w:rPr>
          <w:rFonts w:ascii="Arial" w:hAnsi="Arial" w:cs="Arial"/>
          <w:lang w:val="mt-MT"/>
        </w:rPr>
        <w:t>INSULEUR</w:t>
      </w:r>
      <w:r w:rsidR="008172D1">
        <w:rPr>
          <w:rFonts w:ascii="Arial" w:hAnsi="Arial" w:cs="Arial"/>
          <w:lang w:val="mt-MT"/>
        </w:rPr>
        <w:t xml:space="preserve"> would like to highlight:</w:t>
      </w:r>
    </w:p>
    <w:p w14:paraId="03111B75" w14:textId="0EDD26EB" w:rsidR="003B1E25" w:rsidRDefault="00583E66" w:rsidP="004976D3">
      <w:pPr>
        <w:pStyle w:val="ListParagraph"/>
        <w:numPr>
          <w:ilvl w:val="0"/>
          <w:numId w:val="1"/>
        </w:numPr>
        <w:spacing w:after="200" w:line="240" w:lineRule="auto"/>
        <w:jc w:val="both"/>
        <w:rPr>
          <w:rFonts w:ascii="Arial" w:hAnsi="Arial" w:cs="Arial"/>
          <w:lang w:val="mt-MT"/>
        </w:rPr>
      </w:pPr>
      <w:r>
        <w:rPr>
          <w:rFonts w:ascii="Arial" w:hAnsi="Arial" w:cs="Arial"/>
          <w:lang w:val="mt-MT"/>
        </w:rPr>
        <w:t>INSULEUR</w:t>
      </w:r>
      <w:r w:rsidR="00514873" w:rsidRPr="006B0B90">
        <w:rPr>
          <w:rFonts w:ascii="Arial" w:hAnsi="Arial" w:cs="Arial"/>
          <w:lang w:val="mt-MT"/>
        </w:rPr>
        <w:t xml:space="preserve"> notes</w:t>
      </w:r>
      <w:r w:rsidR="008C73A1" w:rsidRPr="006B0B90">
        <w:rPr>
          <w:rFonts w:ascii="Arial" w:hAnsi="Arial" w:cs="Arial"/>
          <w:lang w:val="mt-MT"/>
        </w:rPr>
        <w:t xml:space="preserve"> with satisfaction the proposed inclusion of </w:t>
      </w:r>
      <w:r w:rsidR="008C73A1" w:rsidRPr="008172D1">
        <w:rPr>
          <w:rFonts w:ascii="Arial" w:hAnsi="Arial" w:cs="Arial"/>
          <w:b/>
          <w:bCs/>
          <w:lang w:val="mt-MT"/>
        </w:rPr>
        <w:t>Digital Innovation Hubs</w:t>
      </w:r>
      <w:r w:rsidR="00357E79" w:rsidRPr="006B0B90">
        <w:rPr>
          <w:rFonts w:ascii="Arial" w:hAnsi="Arial" w:cs="Arial"/>
          <w:lang w:val="mt-MT"/>
        </w:rPr>
        <w:t xml:space="preserve"> in paragraph three of the preamble</w:t>
      </w:r>
      <w:r w:rsidR="000D4D9E">
        <w:rPr>
          <w:rFonts w:ascii="Arial" w:hAnsi="Arial" w:cs="Arial"/>
          <w:lang w:val="mt-MT"/>
        </w:rPr>
        <w:t>.  These are in fact considered as</w:t>
      </w:r>
      <w:r w:rsidR="00BB7E78" w:rsidRPr="006B0B90">
        <w:rPr>
          <w:rFonts w:ascii="Arial" w:hAnsi="Arial" w:cs="Arial"/>
          <w:lang w:val="mt-MT"/>
        </w:rPr>
        <w:t xml:space="preserve"> innovation clusters</w:t>
      </w:r>
      <w:r w:rsidR="00902129" w:rsidRPr="006B0B90">
        <w:rPr>
          <w:rFonts w:ascii="Arial" w:hAnsi="Arial" w:cs="Arial"/>
          <w:lang w:val="mt-MT"/>
        </w:rPr>
        <w:t xml:space="preserve"> where th</w:t>
      </w:r>
      <w:r w:rsidR="00510021">
        <w:rPr>
          <w:rFonts w:ascii="Arial" w:hAnsi="Arial" w:cs="Arial"/>
          <w:lang w:val="mt-MT"/>
        </w:rPr>
        <w:t>e</w:t>
      </w:r>
      <w:r w:rsidR="00902129" w:rsidRPr="006B0B90">
        <w:rPr>
          <w:rFonts w:ascii="Arial" w:hAnsi="Arial" w:cs="Arial"/>
          <w:lang w:val="mt-MT"/>
        </w:rPr>
        <w:t xml:space="preserve"> aid</w:t>
      </w:r>
      <w:r w:rsidR="00510021">
        <w:rPr>
          <w:rFonts w:ascii="Arial" w:hAnsi="Arial" w:cs="Arial"/>
          <w:lang w:val="mt-MT"/>
        </w:rPr>
        <w:t xml:space="preserve"> permitted under this Regulation</w:t>
      </w:r>
      <w:r w:rsidR="00902129" w:rsidRPr="006B0B90">
        <w:rPr>
          <w:rFonts w:ascii="Arial" w:hAnsi="Arial" w:cs="Arial"/>
          <w:lang w:val="mt-MT"/>
        </w:rPr>
        <w:t xml:space="preserve"> would be targeted towards tackling “market failures linked with</w:t>
      </w:r>
      <w:r w:rsidR="00912A6F" w:rsidRPr="006B0B90">
        <w:rPr>
          <w:rFonts w:ascii="Arial" w:hAnsi="Arial" w:cs="Arial"/>
          <w:lang w:val="mt-MT"/>
        </w:rPr>
        <w:t xml:space="preserve"> coordination problems</w:t>
      </w:r>
      <w:r w:rsidR="00B52E58" w:rsidRPr="006B0B90">
        <w:rPr>
          <w:rFonts w:ascii="Arial" w:hAnsi="Arial" w:cs="Arial"/>
          <w:lang w:val="mt-MT"/>
        </w:rPr>
        <w:t xml:space="preserve"> hampering the </w:t>
      </w:r>
      <w:r w:rsidR="00373008" w:rsidRPr="006B0B90">
        <w:rPr>
          <w:rFonts w:ascii="Arial" w:hAnsi="Arial" w:cs="Arial"/>
          <w:lang w:val="mt-MT"/>
        </w:rPr>
        <w:t>development of clusters, or support the operation of clusters</w:t>
      </w:r>
      <w:r w:rsidR="00755AD9" w:rsidRPr="006B0B90">
        <w:rPr>
          <w:rFonts w:ascii="Arial" w:hAnsi="Arial" w:cs="Arial"/>
          <w:lang w:val="mt-MT"/>
        </w:rPr>
        <w:t>, with a view to enhancing collaboration, networking and learning.”</w:t>
      </w:r>
      <w:r w:rsidR="009C1B87" w:rsidRPr="006B0B90">
        <w:rPr>
          <w:rFonts w:ascii="Arial" w:hAnsi="Arial" w:cs="Arial"/>
          <w:lang w:val="mt-MT"/>
        </w:rPr>
        <w:t xml:space="preserve">  </w:t>
      </w:r>
    </w:p>
    <w:p w14:paraId="1F501C3E" w14:textId="77777777" w:rsidR="003B1E25" w:rsidRDefault="003B1E25" w:rsidP="004976D3">
      <w:pPr>
        <w:pStyle w:val="ListParagraph"/>
        <w:spacing w:after="200" w:line="240" w:lineRule="auto"/>
        <w:jc w:val="both"/>
        <w:rPr>
          <w:rFonts w:ascii="Arial" w:hAnsi="Arial" w:cs="Arial"/>
          <w:lang w:val="mt-MT"/>
        </w:rPr>
      </w:pPr>
    </w:p>
    <w:p w14:paraId="7A9BED2B" w14:textId="1A88AB90" w:rsidR="006D51A9" w:rsidRDefault="007C0234" w:rsidP="004976D3">
      <w:pPr>
        <w:pStyle w:val="ListParagraph"/>
        <w:spacing w:after="200" w:line="240" w:lineRule="auto"/>
        <w:jc w:val="both"/>
        <w:rPr>
          <w:rFonts w:ascii="Arial" w:hAnsi="Arial" w:cs="Arial"/>
          <w:lang w:val="mt-MT"/>
        </w:rPr>
      </w:pPr>
      <w:r w:rsidRPr="00B203DA">
        <w:rPr>
          <w:rFonts w:ascii="Arial" w:hAnsi="Arial" w:cs="Arial"/>
          <w:lang w:val="mt-MT"/>
        </w:rPr>
        <w:t>INSULEUR notes that this</w:t>
      </w:r>
      <w:r w:rsidR="009C1B87" w:rsidRPr="00B203DA">
        <w:rPr>
          <w:rFonts w:ascii="Arial" w:hAnsi="Arial" w:cs="Arial"/>
          <w:lang w:val="mt-MT"/>
        </w:rPr>
        <w:t xml:space="preserve"> represent</w:t>
      </w:r>
      <w:r w:rsidRPr="00B203DA">
        <w:rPr>
          <w:rFonts w:ascii="Arial" w:hAnsi="Arial" w:cs="Arial"/>
          <w:lang w:val="mt-MT"/>
        </w:rPr>
        <w:t>s</w:t>
      </w:r>
      <w:r w:rsidR="009C1B87" w:rsidRPr="00B203DA">
        <w:rPr>
          <w:rFonts w:ascii="Arial" w:hAnsi="Arial" w:cs="Arial"/>
          <w:lang w:val="mt-MT"/>
        </w:rPr>
        <w:t xml:space="preserve"> an important step forward given the </w:t>
      </w:r>
      <w:r w:rsidRPr="00B203DA">
        <w:rPr>
          <w:rFonts w:ascii="Arial" w:hAnsi="Arial" w:cs="Arial"/>
          <w:lang w:val="mt-MT"/>
        </w:rPr>
        <w:t>need for</w:t>
      </w:r>
      <w:r w:rsidR="006B0B90" w:rsidRPr="00B203DA">
        <w:rPr>
          <w:rFonts w:ascii="Arial" w:hAnsi="Arial" w:cs="Arial"/>
          <w:lang w:val="mt-MT"/>
        </w:rPr>
        <w:t xml:space="preserve"> </w:t>
      </w:r>
      <w:r w:rsidRPr="00B203DA">
        <w:rPr>
          <w:rFonts w:ascii="Arial" w:hAnsi="Arial" w:cs="Arial"/>
          <w:lang w:val="mt-MT"/>
        </w:rPr>
        <w:t xml:space="preserve">insular </w:t>
      </w:r>
      <w:r w:rsidR="00B13C93" w:rsidRPr="00B203DA">
        <w:rPr>
          <w:rFonts w:ascii="Arial" w:hAnsi="Arial" w:cs="Arial"/>
          <w:lang w:val="mt-MT"/>
        </w:rPr>
        <w:t xml:space="preserve">business entities </w:t>
      </w:r>
      <w:r w:rsidRPr="00B203DA">
        <w:rPr>
          <w:rFonts w:ascii="Arial" w:hAnsi="Arial" w:cs="Arial"/>
          <w:lang w:val="mt-MT"/>
        </w:rPr>
        <w:t>to support and boost their digital transformation</w:t>
      </w:r>
      <w:r w:rsidR="0079334E" w:rsidRPr="00B203DA">
        <w:rPr>
          <w:rFonts w:ascii="Arial" w:hAnsi="Arial" w:cs="Arial"/>
          <w:lang w:val="mt-MT"/>
        </w:rPr>
        <w:t xml:space="preserve"> of both production and development processes of services and applications</w:t>
      </w:r>
      <w:r w:rsidRPr="00B203DA">
        <w:rPr>
          <w:rFonts w:ascii="Arial" w:hAnsi="Arial" w:cs="Arial"/>
          <w:lang w:val="mt-MT"/>
        </w:rPr>
        <w:t xml:space="preserve">, especially those in the tourism and agricultural sectors. This will help them to successfully face today’s global challenges </w:t>
      </w:r>
      <w:r w:rsidR="0079334E" w:rsidRPr="00B203DA">
        <w:rPr>
          <w:rFonts w:ascii="Arial" w:hAnsi="Arial" w:cs="Arial"/>
          <w:lang w:val="mt-MT"/>
        </w:rPr>
        <w:t xml:space="preserve">by supporting their competitiveness </w:t>
      </w:r>
      <w:r w:rsidR="00B203DA" w:rsidRPr="00B203DA">
        <w:rPr>
          <w:rFonts w:ascii="Arial" w:hAnsi="Arial" w:cs="Arial"/>
          <w:lang w:val="mt-MT"/>
        </w:rPr>
        <w:t xml:space="preserve">and help them </w:t>
      </w:r>
      <w:r w:rsidR="0079334E" w:rsidRPr="00B203DA">
        <w:rPr>
          <w:rFonts w:ascii="Arial" w:hAnsi="Arial" w:cs="Arial"/>
          <w:lang w:val="mt-MT"/>
        </w:rPr>
        <w:t>integrat</w:t>
      </w:r>
      <w:r w:rsidR="00B203DA" w:rsidRPr="00B203DA">
        <w:rPr>
          <w:rFonts w:ascii="Arial" w:hAnsi="Arial" w:cs="Arial"/>
          <w:lang w:val="mt-MT"/>
        </w:rPr>
        <w:t>e</w:t>
      </w:r>
      <w:r w:rsidR="0079334E" w:rsidRPr="00B203DA">
        <w:rPr>
          <w:rFonts w:ascii="Arial" w:hAnsi="Arial" w:cs="Arial"/>
          <w:lang w:val="mt-MT"/>
        </w:rPr>
        <w:t xml:space="preserve"> and enhance innovative products and technologies</w:t>
      </w:r>
      <w:r w:rsidR="00B203DA" w:rsidRPr="00B203DA">
        <w:rPr>
          <w:rFonts w:ascii="Arial" w:hAnsi="Arial" w:cs="Arial"/>
          <w:lang w:val="mt-MT"/>
        </w:rPr>
        <w:t xml:space="preserve"> towards</w:t>
      </w:r>
      <w:r w:rsidR="0079334E" w:rsidRPr="00B203DA">
        <w:rPr>
          <w:rFonts w:ascii="Arial" w:hAnsi="Arial" w:cs="Arial"/>
          <w:lang w:val="mt-MT"/>
        </w:rPr>
        <w:t xml:space="preserve"> </w:t>
      </w:r>
      <w:r w:rsidR="00B203DA" w:rsidRPr="00B203DA">
        <w:rPr>
          <w:rFonts w:ascii="Arial" w:hAnsi="Arial" w:cs="Arial"/>
          <w:lang w:val="mt-MT"/>
        </w:rPr>
        <w:t>s</w:t>
      </w:r>
      <w:r w:rsidR="0079334E" w:rsidRPr="00B203DA">
        <w:rPr>
          <w:rFonts w:ascii="Arial" w:hAnsi="Arial" w:cs="Arial"/>
          <w:lang w:val="mt-MT"/>
        </w:rPr>
        <w:t xml:space="preserve">ustainable </w:t>
      </w:r>
      <w:r w:rsidR="00B203DA" w:rsidRPr="00B203DA">
        <w:rPr>
          <w:rFonts w:ascii="Arial" w:hAnsi="Arial" w:cs="Arial"/>
          <w:lang w:val="mt-MT"/>
        </w:rPr>
        <w:t>l</w:t>
      </w:r>
      <w:r w:rsidR="0079334E" w:rsidRPr="00B203DA">
        <w:rPr>
          <w:rFonts w:ascii="Arial" w:hAnsi="Arial" w:cs="Arial"/>
          <w:lang w:val="mt-MT"/>
        </w:rPr>
        <w:t>iving</w:t>
      </w:r>
      <w:r w:rsidR="00B203DA" w:rsidRPr="00B203DA">
        <w:rPr>
          <w:rFonts w:ascii="Arial" w:hAnsi="Arial" w:cs="Arial"/>
          <w:lang w:val="mt-MT"/>
        </w:rPr>
        <w:t xml:space="preserve">. </w:t>
      </w:r>
      <w:r w:rsidR="00C816E4" w:rsidRPr="00B203DA">
        <w:rPr>
          <w:rFonts w:ascii="Arial" w:hAnsi="Arial" w:cs="Arial"/>
          <w:lang w:val="mt-MT"/>
        </w:rPr>
        <w:t>The inclusion of non-</w:t>
      </w:r>
      <w:r w:rsidR="008E178C" w:rsidRPr="00B203DA">
        <w:rPr>
          <w:rFonts w:ascii="Arial" w:hAnsi="Arial" w:cs="Arial"/>
          <w:lang w:val="mt-MT"/>
        </w:rPr>
        <w:t>for-profit organisations under the amendment of</w:t>
      </w:r>
      <w:r w:rsidR="004D0009" w:rsidRPr="00B203DA">
        <w:rPr>
          <w:rFonts w:ascii="Arial" w:hAnsi="Arial" w:cs="Arial"/>
          <w:lang w:val="mt-MT"/>
        </w:rPr>
        <w:t xml:space="preserve"> </w:t>
      </w:r>
      <w:r w:rsidR="008E178C" w:rsidRPr="00B203DA">
        <w:rPr>
          <w:rFonts w:ascii="Arial" w:hAnsi="Arial" w:cs="Arial"/>
          <w:lang w:val="mt-MT"/>
        </w:rPr>
        <w:t xml:space="preserve">article </w:t>
      </w:r>
      <w:r w:rsidR="004D0009" w:rsidRPr="00B203DA">
        <w:rPr>
          <w:rFonts w:ascii="Arial" w:hAnsi="Arial" w:cs="Arial"/>
          <w:lang w:val="mt-MT"/>
        </w:rPr>
        <w:t>92 is also a very important change.</w:t>
      </w:r>
    </w:p>
    <w:p w14:paraId="548C70F4" w14:textId="77777777" w:rsidR="003B1E25" w:rsidRDefault="003B1E25" w:rsidP="004976D3">
      <w:pPr>
        <w:pStyle w:val="ListParagraph"/>
        <w:spacing w:after="200" w:line="240" w:lineRule="auto"/>
        <w:jc w:val="both"/>
        <w:rPr>
          <w:rFonts w:ascii="Arial" w:hAnsi="Arial" w:cs="Arial"/>
          <w:lang w:val="mt-MT"/>
        </w:rPr>
      </w:pPr>
    </w:p>
    <w:p w14:paraId="5834CDD7" w14:textId="1D7CE5C3" w:rsidR="00B53485" w:rsidRDefault="00B203DA" w:rsidP="004976D3">
      <w:pPr>
        <w:pStyle w:val="ListParagraph"/>
        <w:numPr>
          <w:ilvl w:val="0"/>
          <w:numId w:val="1"/>
        </w:numPr>
        <w:spacing w:after="200" w:line="240" w:lineRule="auto"/>
        <w:jc w:val="both"/>
        <w:rPr>
          <w:rFonts w:ascii="Arial" w:hAnsi="Arial" w:cs="Arial"/>
          <w:lang w:val="mt-MT"/>
        </w:rPr>
      </w:pPr>
      <w:r>
        <w:rPr>
          <w:rFonts w:ascii="Arial" w:hAnsi="Arial" w:cs="Arial"/>
          <w:lang w:val="mt-MT"/>
        </w:rPr>
        <w:t>INSULEUR</w:t>
      </w:r>
      <w:r w:rsidR="001C1DFD">
        <w:rPr>
          <w:rFonts w:ascii="Arial" w:hAnsi="Arial" w:cs="Arial"/>
          <w:lang w:val="mt-MT"/>
        </w:rPr>
        <w:t xml:space="preserve"> agrees also with the point indicated in paragraph 7 of the preamble</w:t>
      </w:r>
      <w:r w:rsidR="003B20EA">
        <w:rPr>
          <w:rFonts w:ascii="Arial" w:hAnsi="Arial" w:cs="Arial"/>
          <w:lang w:val="mt-MT"/>
        </w:rPr>
        <w:t xml:space="preserve"> whereby this includes “investment aid for supporting the acquisition or the leasing of zero-emission vehicles or clean vehicles</w:t>
      </w:r>
      <w:r w:rsidR="007508DA">
        <w:rPr>
          <w:rFonts w:ascii="Arial" w:hAnsi="Arial" w:cs="Arial"/>
          <w:lang w:val="mt-MT"/>
        </w:rPr>
        <w:t xml:space="preserve">”.  </w:t>
      </w:r>
      <w:r w:rsidR="0037569A">
        <w:rPr>
          <w:rFonts w:ascii="Arial" w:hAnsi="Arial" w:cs="Arial"/>
          <w:lang w:val="mt-MT"/>
        </w:rPr>
        <w:t xml:space="preserve">The </w:t>
      </w:r>
      <w:r w:rsidR="0037569A" w:rsidRPr="0037569A">
        <w:rPr>
          <w:rFonts w:ascii="Arial" w:hAnsi="Arial" w:cs="Arial"/>
          <w:lang w:val="mt-MT"/>
        </w:rPr>
        <w:t xml:space="preserve">groundbreaking mobility system on the Mediterranean island of Astypalea </w:t>
      </w:r>
      <w:r w:rsidR="0037569A">
        <w:rPr>
          <w:rFonts w:ascii="Arial" w:hAnsi="Arial" w:cs="Arial"/>
          <w:lang w:val="mt-MT"/>
        </w:rPr>
        <w:t xml:space="preserve">and the </w:t>
      </w:r>
      <w:r w:rsidR="0037569A" w:rsidRPr="0037569A">
        <w:rPr>
          <w:rFonts w:ascii="Arial" w:hAnsi="Arial" w:cs="Arial"/>
          <w:lang w:val="mt-MT"/>
        </w:rPr>
        <w:t xml:space="preserve">important move towards electrifying the fleet present on the island </w:t>
      </w:r>
      <w:r w:rsidR="0037569A">
        <w:rPr>
          <w:rFonts w:ascii="Arial" w:hAnsi="Arial" w:cs="Arial"/>
          <w:lang w:val="mt-MT"/>
        </w:rPr>
        <w:t xml:space="preserve">of </w:t>
      </w:r>
      <w:r w:rsidR="00AD64DA">
        <w:rPr>
          <w:rFonts w:ascii="Arial" w:hAnsi="Arial" w:cs="Arial"/>
          <w:lang w:val="mt-MT"/>
        </w:rPr>
        <w:t>C</w:t>
      </w:r>
      <w:r w:rsidR="0037569A">
        <w:rPr>
          <w:rFonts w:ascii="Arial" w:hAnsi="Arial" w:cs="Arial"/>
          <w:lang w:val="mt-MT"/>
        </w:rPr>
        <w:t>halki shows in practice how</w:t>
      </w:r>
      <w:r w:rsidR="0037569A" w:rsidRPr="0037569A">
        <w:rPr>
          <w:rFonts w:ascii="Arial" w:hAnsi="Arial" w:cs="Arial"/>
          <w:lang w:val="mt-MT"/>
        </w:rPr>
        <w:t xml:space="preserve"> island</w:t>
      </w:r>
      <w:r w:rsidR="0037569A">
        <w:rPr>
          <w:rFonts w:ascii="Arial" w:hAnsi="Arial" w:cs="Arial"/>
          <w:lang w:val="mt-MT"/>
        </w:rPr>
        <w:t>s</w:t>
      </w:r>
      <w:r w:rsidR="0037569A" w:rsidRPr="0037569A">
        <w:rPr>
          <w:rFonts w:ascii="Arial" w:hAnsi="Arial" w:cs="Arial"/>
          <w:lang w:val="mt-MT"/>
        </w:rPr>
        <w:t xml:space="preserve"> will gain a significant improvement in their daily life with a cleaner environment, as well as lower energy costs</w:t>
      </w:r>
      <w:r w:rsidR="0037569A">
        <w:rPr>
          <w:rFonts w:ascii="Arial" w:hAnsi="Arial" w:cs="Arial"/>
          <w:lang w:val="mt-MT"/>
        </w:rPr>
        <w:t>.</w:t>
      </w:r>
      <w:r w:rsidR="0037569A" w:rsidRPr="0037569A">
        <w:rPr>
          <w:rFonts w:ascii="Arial" w:hAnsi="Arial" w:cs="Arial"/>
          <w:lang w:val="mt-MT"/>
        </w:rPr>
        <w:t xml:space="preserve"> </w:t>
      </w:r>
      <w:r w:rsidR="00AD64DA">
        <w:rPr>
          <w:rFonts w:ascii="Arial" w:hAnsi="Arial" w:cs="Arial"/>
          <w:lang w:val="mt-MT"/>
        </w:rPr>
        <w:t>Ind</w:t>
      </w:r>
      <w:r w:rsidR="00BC0767">
        <w:rPr>
          <w:rFonts w:ascii="Arial" w:hAnsi="Arial" w:cs="Arial"/>
          <w:lang w:val="mt-MT"/>
        </w:rPr>
        <w:t>e</w:t>
      </w:r>
      <w:r w:rsidR="00AD64DA">
        <w:rPr>
          <w:rFonts w:ascii="Arial" w:hAnsi="Arial" w:cs="Arial"/>
          <w:lang w:val="mt-MT"/>
        </w:rPr>
        <w:t>ed, at</w:t>
      </w:r>
      <w:r w:rsidR="00AD64DA" w:rsidRPr="00AD64DA">
        <w:rPr>
          <w:rFonts w:ascii="Arial" w:hAnsi="Arial" w:cs="Arial"/>
          <w:lang w:val="mt-MT"/>
        </w:rPr>
        <w:t xml:space="preserve"> present, energy demand</w:t>
      </w:r>
      <w:r w:rsidR="00966137">
        <w:rPr>
          <w:rFonts w:ascii="Arial" w:hAnsi="Arial" w:cs="Arial"/>
          <w:lang w:val="mt-MT"/>
        </w:rPr>
        <w:t xml:space="preserve"> on most EU islands</w:t>
      </w:r>
      <w:r w:rsidR="00AD64DA" w:rsidRPr="00AD64DA">
        <w:rPr>
          <w:rFonts w:ascii="Arial" w:hAnsi="Arial" w:cs="Arial"/>
          <w:lang w:val="mt-MT"/>
        </w:rPr>
        <w:t xml:space="preserve"> is almost entirely met by fossil fuel sources</w:t>
      </w:r>
      <w:r w:rsidR="00CA76F8">
        <w:rPr>
          <w:rFonts w:ascii="Arial" w:hAnsi="Arial" w:cs="Arial"/>
          <w:lang w:val="mt-MT"/>
        </w:rPr>
        <w:t xml:space="preserve">.  </w:t>
      </w:r>
      <w:r w:rsidR="000C2C99">
        <w:rPr>
          <w:rFonts w:ascii="Arial" w:hAnsi="Arial" w:cs="Arial"/>
          <w:lang w:val="mt-MT"/>
        </w:rPr>
        <w:t>Though islands are aspiring to</w:t>
      </w:r>
      <w:r w:rsidR="006F574F">
        <w:rPr>
          <w:rFonts w:ascii="Arial" w:hAnsi="Arial" w:cs="Arial"/>
          <w:lang w:val="mt-MT"/>
        </w:rPr>
        <w:t xml:space="preserve"> diversify their economic model</w:t>
      </w:r>
      <w:r w:rsidR="00015A94">
        <w:rPr>
          <w:rFonts w:ascii="Arial" w:hAnsi="Arial" w:cs="Arial"/>
          <w:lang w:val="mt-MT"/>
        </w:rPr>
        <w:t xml:space="preserve"> tourism will stay play an important</w:t>
      </w:r>
      <w:r w:rsidR="008B1644">
        <w:rPr>
          <w:rFonts w:ascii="Arial" w:hAnsi="Arial" w:cs="Arial"/>
          <w:lang w:val="mt-MT"/>
        </w:rPr>
        <w:t xml:space="preserve"> in </w:t>
      </w:r>
      <w:r w:rsidR="00E8400C">
        <w:rPr>
          <w:rFonts w:ascii="Arial" w:hAnsi="Arial" w:cs="Arial"/>
          <w:lang w:val="mt-MT"/>
        </w:rPr>
        <w:t>islands’ economies.</w:t>
      </w:r>
      <w:r w:rsidR="006575D0">
        <w:rPr>
          <w:rFonts w:ascii="Arial" w:hAnsi="Arial" w:cs="Arial"/>
          <w:lang w:val="mt-MT"/>
        </w:rPr>
        <w:t xml:space="preserve">  </w:t>
      </w:r>
      <w:r w:rsidR="00CA76F8">
        <w:rPr>
          <w:rFonts w:ascii="Arial" w:hAnsi="Arial" w:cs="Arial"/>
          <w:lang w:val="mt-MT"/>
        </w:rPr>
        <w:t>As</w:t>
      </w:r>
      <w:r w:rsidR="00AD64DA">
        <w:rPr>
          <w:rFonts w:ascii="Arial" w:hAnsi="Arial" w:cs="Arial"/>
          <w:lang w:val="mt-MT"/>
        </w:rPr>
        <w:t>many</w:t>
      </w:r>
      <w:r w:rsidR="00AD64DA" w:rsidRPr="00AD64DA">
        <w:rPr>
          <w:rFonts w:ascii="Arial" w:hAnsi="Arial" w:cs="Arial"/>
          <w:lang w:val="mt-MT"/>
        </w:rPr>
        <w:t xml:space="preserve"> aspire to become  pioneer</w:t>
      </w:r>
      <w:r w:rsidR="00AD64DA">
        <w:rPr>
          <w:rFonts w:ascii="Arial" w:hAnsi="Arial" w:cs="Arial"/>
          <w:lang w:val="mt-MT"/>
        </w:rPr>
        <w:t>s</w:t>
      </w:r>
      <w:r w:rsidR="00AD64DA" w:rsidRPr="00AD64DA">
        <w:rPr>
          <w:rFonts w:ascii="Arial" w:hAnsi="Arial" w:cs="Arial"/>
          <w:lang w:val="mt-MT"/>
        </w:rPr>
        <w:t xml:space="preserve"> </w:t>
      </w:r>
      <w:r w:rsidR="00624EBF">
        <w:rPr>
          <w:rFonts w:ascii="Arial" w:hAnsi="Arial" w:cs="Arial"/>
          <w:lang w:val="mt-MT"/>
        </w:rPr>
        <w:t>of</w:t>
      </w:r>
      <w:r w:rsidR="00AD64DA" w:rsidRPr="00AD64DA">
        <w:rPr>
          <w:rFonts w:ascii="Arial" w:hAnsi="Arial" w:cs="Arial"/>
          <w:lang w:val="mt-MT"/>
        </w:rPr>
        <w:t xml:space="preserve"> sustainable tourism over the coming years</w:t>
      </w:r>
      <w:r w:rsidR="00624EBF">
        <w:rPr>
          <w:rFonts w:ascii="Arial" w:hAnsi="Arial" w:cs="Arial"/>
          <w:lang w:val="mt-MT"/>
        </w:rPr>
        <w:t>, they</w:t>
      </w:r>
      <w:r w:rsidR="00AD64DA">
        <w:rPr>
          <w:rFonts w:ascii="Arial" w:hAnsi="Arial" w:cs="Arial"/>
          <w:lang w:val="mt-MT"/>
        </w:rPr>
        <w:t>are</w:t>
      </w:r>
      <w:r w:rsidR="00AD64DA" w:rsidRPr="00AD64DA">
        <w:rPr>
          <w:rFonts w:ascii="Arial" w:hAnsi="Arial" w:cs="Arial"/>
          <w:lang w:val="mt-MT"/>
        </w:rPr>
        <w:t xml:space="preserve"> therefore backing</w:t>
      </w:r>
      <w:r w:rsidR="00624EBF">
        <w:rPr>
          <w:rFonts w:ascii="Arial" w:hAnsi="Arial" w:cs="Arial"/>
          <w:lang w:val="mt-MT"/>
        </w:rPr>
        <w:t xml:space="preserve"> the implementation of</w:t>
      </w:r>
      <w:r w:rsidR="00AD64DA" w:rsidRPr="00AD64DA">
        <w:rPr>
          <w:rFonts w:ascii="Arial" w:hAnsi="Arial" w:cs="Arial"/>
          <w:lang w:val="mt-MT"/>
        </w:rPr>
        <w:t xml:space="preserve"> sustainable mobility</w:t>
      </w:r>
      <w:r w:rsidR="00624EBF">
        <w:rPr>
          <w:rFonts w:ascii="Arial" w:hAnsi="Arial" w:cs="Arial"/>
          <w:lang w:val="mt-MT"/>
        </w:rPr>
        <w:t xml:space="preserve"> practices on islands</w:t>
      </w:r>
      <w:r w:rsidR="00C97B74">
        <w:rPr>
          <w:rFonts w:ascii="Arial" w:hAnsi="Arial" w:cs="Arial"/>
          <w:lang w:val="mt-MT"/>
        </w:rPr>
        <w:t xml:space="preserve">, which may include also the conversion </w:t>
      </w:r>
      <w:r w:rsidR="008576F8">
        <w:rPr>
          <w:rFonts w:ascii="Arial" w:hAnsi="Arial" w:cs="Arial"/>
          <w:lang w:val="mt-MT"/>
        </w:rPr>
        <w:t xml:space="preserve">of </w:t>
      </w:r>
      <w:r w:rsidR="000602BD">
        <w:rPr>
          <w:rFonts w:ascii="Arial" w:hAnsi="Arial" w:cs="Arial"/>
          <w:lang w:val="mt-MT"/>
        </w:rPr>
        <w:t>the commercial fleets of rental car companies</w:t>
      </w:r>
      <w:r w:rsidR="006575D0">
        <w:rPr>
          <w:rFonts w:ascii="Arial" w:hAnsi="Arial" w:cs="Arial"/>
          <w:lang w:val="mt-MT"/>
        </w:rPr>
        <w:t xml:space="preserve"> to electric vehicles</w:t>
      </w:r>
      <w:r w:rsidR="00AD64DA" w:rsidRPr="00AD64DA">
        <w:rPr>
          <w:rFonts w:ascii="Arial" w:hAnsi="Arial" w:cs="Arial"/>
          <w:lang w:val="mt-MT"/>
        </w:rPr>
        <w:t xml:space="preserve">. </w:t>
      </w:r>
      <w:r w:rsidR="007508DA">
        <w:rPr>
          <w:rFonts w:ascii="Arial" w:hAnsi="Arial" w:cs="Arial"/>
          <w:lang w:val="mt-MT"/>
        </w:rPr>
        <w:t>To this end it is important to note whether hybrid vehicles will be inclu</w:t>
      </w:r>
      <w:r w:rsidR="00847D06">
        <w:rPr>
          <w:rFonts w:ascii="Arial" w:hAnsi="Arial" w:cs="Arial"/>
          <w:lang w:val="mt-MT"/>
        </w:rPr>
        <w:t>ded.  This clarity is needed both for car vendors, rental companies and consumers</w:t>
      </w:r>
      <w:r w:rsidR="0006533D">
        <w:rPr>
          <w:rFonts w:ascii="Arial" w:hAnsi="Arial" w:cs="Arial"/>
          <w:lang w:val="mt-MT"/>
        </w:rPr>
        <w:t>.  Given</w:t>
      </w:r>
      <w:r w:rsidR="00A95932">
        <w:rPr>
          <w:rFonts w:ascii="Arial" w:hAnsi="Arial" w:cs="Arial"/>
          <w:lang w:val="mt-MT"/>
        </w:rPr>
        <w:t>,</w:t>
      </w:r>
      <w:r w:rsidR="0006533D">
        <w:rPr>
          <w:rFonts w:ascii="Arial" w:hAnsi="Arial" w:cs="Arial"/>
          <w:lang w:val="mt-MT"/>
        </w:rPr>
        <w:t xml:space="preserve"> that if aid can be granted only to fully electric vehicles</w:t>
      </w:r>
      <w:r w:rsidR="002E530B">
        <w:rPr>
          <w:rFonts w:ascii="Arial" w:hAnsi="Arial" w:cs="Arial"/>
          <w:lang w:val="mt-MT"/>
        </w:rPr>
        <w:t>, this will be affecting both investment and buying patterns</w:t>
      </w:r>
      <w:r w:rsidR="002F017D">
        <w:rPr>
          <w:rFonts w:ascii="Arial" w:hAnsi="Arial" w:cs="Arial"/>
          <w:lang w:val="mt-MT"/>
        </w:rPr>
        <w:t xml:space="preserve">.  </w:t>
      </w:r>
    </w:p>
    <w:p w14:paraId="124B853F" w14:textId="77777777" w:rsidR="00AD64DA" w:rsidRDefault="00AD64DA" w:rsidP="00B53485">
      <w:pPr>
        <w:pStyle w:val="ListParagraph"/>
        <w:spacing w:after="200" w:line="240" w:lineRule="auto"/>
        <w:jc w:val="both"/>
        <w:rPr>
          <w:rFonts w:ascii="Arial" w:hAnsi="Arial" w:cs="Arial"/>
          <w:lang w:val="mt-MT"/>
        </w:rPr>
      </w:pPr>
    </w:p>
    <w:p w14:paraId="4FBFD799" w14:textId="3F4A602A" w:rsidR="006B0B90" w:rsidRDefault="00AD64DA" w:rsidP="00B53485">
      <w:pPr>
        <w:pStyle w:val="ListParagraph"/>
        <w:spacing w:after="200" w:line="240" w:lineRule="auto"/>
        <w:jc w:val="both"/>
        <w:rPr>
          <w:rFonts w:ascii="Arial" w:hAnsi="Arial" w:cs="Arial"/>
          <w:lang w:val="mt-MT"/>
        </w:rPr>
      </w:pPr>
      <w:r>
        <w:rPr>
          <w:rFonts w:ascii="Arial" w:hAnsi="Arial" w:cs="Arial"/>
          <w:lang w:val="mt-MT"/>
        </w:rPr>
        <w:t xml:space="preserve">INSULEUR </w:t>
      </w:r>
      <w:r w:rsidR="002F017D">
        <w:rPr>
          <w:rFonts w:ascii="Arial" w:hAnsi="Arial" w:cs="Arial"/>
          <w:lang w:val="mt-MT"/>
        </w:rPr>
        <w:t>also agrees with the point raised in the same paragraph</w:t>
      </w:r>
      <w:r w:rsidR="00394679">
        <w:rPr>
          <w:rFonts w:ascii="Arial" w:hAnsi="Arial" w:cs="Arial"/>
          <w:lang w:val="mt-MT"/>
        </w:rPr>
        <w:t xml:space="preserve"> that “aid for recharging and refuelling infrastructure should also be available for infrastructure that is not publicly accessible.”  This will be a very important step to support the deployment of rechargin</w:t>
      </w:r>
      <w:r w:rsidR="008743DE">
        <w:rPr>
          <w:rFonts w:ascii="Arial" w:hAnsi="Arial" w:cs="Arial"/>
          <w:lang w:val="mt-MT"/>
        </w:rPr>
        <w:t>g</w:t>
      </w:r>
      <w:r w:rsidR="00394679">
        <w:rPr>
          <w:rFonts w:ascii="Arial" w:hAnsi="Arial" w:cs="Arial"/>
          <w:lang w:val="mt-MT"/>
        </w:rPr>
        <w:t xml:space="preserve"> infrastructure in private households.</w:t>
      </w:r>
      <w:r w:rsidR="00530759">
        <w:rPr>
          <w:rFonts w:ascii="Arial" w:hAnsi="Arial" w:cs="Arial"/>
          <w:lang w:val="mt-MT"/>
        </w:rPr>
        <w:t xml:space="preserve">  The change in </w:t>
      </w:r>
      <w:r w:rsidR="007E6529">
        <w:rPr>
          <w:rFonts w:ascii="Arial" w:hAnsi="Arial" w:cs="Arial"/>
          <w:lang w:val="mt-MT"/>
        </w:rPr>
        <w:t>article 36 a reflects th</w:t>
      </w:r>
      <w:r w:rsidR="00E03D0B">
        <w:rPr>
          <w:rFonts w:ascii="Arial" w:hAnsi="Arial" w:cs="Arial"/>
          <w:lang w:val="mt-MT"/>
        </w:rPr>
        <w:t>ese amendment</w:t>
      </w:r>
      <w:r w:rsidR="007935B8">
        <w:rPr>
          <w:rFonts w:ascii="Arial" w:hAnsi="Arial" w:cs="Arial"/>
          <w:lang w:val="mt-MT"/>
        </w:rPr>
        <w:t>s</w:t>
      </w:r>
      <w:r w:rsidR="007E6529">
        <w:rPr>
          <w:rFonts w:ascii="Arial" w:hAnsi="Arial" w:cs="Arial"/>
          <w:lang w:val="mt-MT"/>
        </w:rPr>
        <w:t xml:space="preserve">.  </w:t>
      </w:r>
      <w:r w:rsidR="00FF477F">
        <w:rPr>
          <w:rFonts w:ascii="Arial" w:hAnsi="Arial" w:cs="Arial"/>
          <w:lang w:val="mt-MT"/>
        </w:rPr>
        <w:t>This</w:t>
      </w:r>
      <w:r w:rsidR="007E6529">
        <w:rPr>
          <w:rFonts w:ascii="Arial" w:hAnsi="Arial" w:cs="Arial"/>
          <w:lang w:val="mt-MT"/>
        </w:rPr>
        <w:t xml:space="preserve"> is a point which should be taken into consideration</w:t>
      </w:r>
      <w:r w:rsidR="00B428BF">
        <w:rPr>
          <w:rFonts w:ascii="Arial" w:hAnsi="Arial" w:cs="Arial"/>
          <w:lang w:val="mt-MT"/>
        </w:rPr>
        <w:t xml:space="preserve"> at a national level</w:t>
      </w:r>
      <w:r w:rsidR="00892F58">
        <w:rPr>
          <w:rFonts w:ascii="Arial" w:hAnsi="Arial" w:cs="Arial"/>
          <w:lang w:val="mt-MT"/>
        </w:rPr>
        <w:t xml:space="preserve"> in each country</w:t>
      </w:r>
      <w:r w:rsidR="00A6541A">
        <w:rPr>
          <w:rFonts w:ascii="Arial" w:hAnsi="Arial" w:cs="Arial"/>
          <w:lang w:val="mt-MT"/>
        </w:rPr>
        <w:t xml:space="preserve">.  </w:t>
      </w:r>
    </w:p>
    <w:p w14:paraId="76F8A1DB" w14:textId="77777777" w:rsidR="003B1E25" w:rsidRDefault="003B1E25" w:rsidP="004976D3">
      <w:pPr>
        <w:pStyle w:val="ListParagraph"/>
        <w:spacing w:after="200" w:line="240" w:lineRule="auto"/>
        <w:jc w:val="both"/>
        <w:rPr>
          <w:rFonts w:ascii="Arial" w:hAnsi="Arial" w:cs="Arial"/>
          <w:lang w:val="mt-MT"/>
        </w:rPr>
      </w:pPr>
    </w:p>
    <w:p w14:paraId="6614AC46" w14:textId="5B871D8A" w:rsidR="00AF0C8D" w:rsidRDefault="00312EF2" w:rsidP="004976D3">
      <w:pPr>
        <w:pStyle w:val="ListParagraph"/>
        <w:numPr>
          <w:ilvl w:val="0"/>
          <w:numId w:val="1"/>
        </w:numPr>
        <w:spacing w:after="200" w:line="240" w:lineRule="auto"/>
        <w:jc w:val="both"/>
        <w:rPr>
          <w:rFonts w:ascii="Arial" w:hAnsi="Arial" w:cs="Arial"/>
          <w:lang w:val="mt-MT"/>
        </w:rPr>
      </w:pPr>
      <w:r>
        <w:rPr>
          <w:rFonts w:ascii="Arial" w:hAnsi="Arial" w:cs="Arial"/>
          <w:lang w:val="mt-MT"/>
        </w:rPr>
        <w:t>INSULEUR</w:t>
      </w:r>
      <w:r w:rsidR="00156610">
        <w:rPr>
          <w:rFonts w:ascii="Arial" w:hAnsi="Arial" w:cs="Arial"/>
          <w:lang w:val="mt-MT"/>
        </w:rPr>
        <w:t xml:space="preserve"> also agrees with the point highlighted in paragraph 10 of the preamble</w:t>
      </w:r>
      <w:r w:rsidR="00372EBB">
        <w:rPr>
          <w:rFonts w:ascii="Arial" w:hAnsi="Arial" w:cs="Arial"/>
          <w:lang w:val="mt-MT"/>
        </w:rPr>
        <w:t xml:space="preserve"> “introducing compatibility conditions for investment aid for the rehabilitation</w:t>
      </w:r>
      <w:r w:rsidR="00AE1727">
        <w:rPr>
          <w:rFonts w:ascii="Arial" w:hAnsi="Arial" w:cs="Arial"/>
          <w:lang w:val="mt-MT"/>
        </w:rPr>
        <w:t xml:space="preserve"> of natural habitats and ecosystems, the protection and restoration of biodiversity and nature-based solutions for climate change adaptation.</w:t>
      </w:r>
      <w:r w:rsidR="00D14F8C">
        <w:rPr>
          <w:rFonts w:ascii="Arial" w:hAnsi="Arial" w:cs="Arial"/>
          <w:lang w:val="mt-MT"/>
        </w:rPr>
        <w:t xml:space="preserve">”  This should be an important step </w:t>
      </w:r>
      <w:r>
        <w:rPr>
          <w:rFonts w:ascii="Arial" w:hAnsi="Arial" w:cs="Arial"/>
          <w:lang w:val="mt-MT"/>
        </w:rPr>
        <w:t>for E</w:t>
      </w:r>
      <w:r w:rsidR="00F75E41">
        <w:rPr>
          <w:rFonts w:ascii="Arial" w:hAnsi="Arial" w:cs="Arial"/>
          <w:lang w:val="mt-MT"/>
        </w:rPr>
        <w:t>U</w:t>
      </w:r>
      <w:r>
        <w:rPr>
          <w:rFonts w:ascii="Arial" w:hAnsi="Arial" w:cs="Arial"/>
          <w:lang w:val="mt-MT"/>
        </w:rPr>
        <w:t xml:space="preserve"> Islands and </w:t>
      </w:r>
      <w:r w:rsidR="000466A5">
        <w:rPr>
          <w:rFonts w:ascii="Arial" w:hAnsi="Arial" w:cs="Arial"/>
          <w:lang w:val="mt-MT"/>
        </w:rPr>
        <w:t xml:space="preserve"> </w:t>
      </w:r>
      <w:r w:rsidRPr="00312EF2">
        <w:rPr>
          <w:rFonts w:ascii="Arial" w:hAnsi="Arial" w:cs="Arial"/>
          <w:lang w:val="mt-MT"/>
        </w:rPr>
        <w:t xml:space="preserve">ORs </w:t>
      </w:r>
      <w:r>
        <w:rPr>
          <w:rFonts w:ascii="Arial" w:hAnsi="Arial" w:cs="Arial"/>
          <w:lang w:val="mt-MT"/>
        </w:rPr>
        <w:t>/</w:t>
      </w:r>
      <w:r w:rsidRPr="00312EF2">
        <w:rPr>
          <w:rFonts w:ascii="Arial" w:hAnsi="Arial" w:cs="Arial"/>
          <w:lang w:val="mt-MT"/>
        </w:rPr>
        <w:t xml:space="preserve"> OCTs </w:t>
      </w:r>
      <w:r>
        <w:rPr>
          <w:rFonts w:ascii="Arial" w:hAnsi="Arial" w:cs="Arial"/>
          <w:lang w:val="mt-MT"/>
        </w:rPr>
        <w:t>in particular, which</w:t>
      </w:r>
      <w:r w:rsidRPr="00312EF2">
        <w:rPr>
          <w:rFonts w:ascii="Arial" w:hAnsi="Arial" w:cs="Arial"/>
          <w:lang w:val="mt-MT"/>
        </w:rPr>
        <w:t xml:space="preserve"> share peculiar geographical characteristics, i.e. remoteness, insularity, small size, difficult topography, and exposure to climate threats</w:t>
      </w:r>
      <w:r>
        <w:rPr>
          <w:rFonts w:ascii="Arial" w:hAnsi="Arial" w:cs="Arial"/>
          <w:lang w:val="mt-MT"/>
        </w:rPr>
        <w:t xml:space="preserve">. </w:t>
      </w:r>
      <w:r w:rsidRPr="00312EF2">
        <w:rPr>
          <w:rFonts w:ascii="Arial" w:hAnsi="Arial" w:cs="Arial"/>
          <w:lang w:val="mt-MT"/>
        </w:rPr>
        <w:t xml:space="preserve">Remoteness and the insularity have </w:t>
      </w:r>
      <w:r>
        <w:rPr>
          <w:rFonts w:ascii="Arial" w:hAnsi="Arial" w:cs="Arial"/>
          <w:lang w:val="mt-MT"/>
        </w:rPr>
        <w:t xml:space="preserve">indeed </w:t>
      </w:r>
      <w:r w:rsidRPr="00312EF2">
        <w:rPr>
          <w:rFonts w:ascii="Arial" w:hAnsi="Arial" w:cs="Arial"/>
          <w:lang w:val="mt-MT"/>
        </w:rPr>
        <w:t>allowed the growth of rich biodiversity on land and, even more so, at sea</w:t>
      </w:r>
      <w:r w:rsidR="000466A5">
        <w:rPr>
          <w:rFonts w:ascii="Arial" w:hAnsi="Arial" w:cs="Arial"/>
          <w:lang w:val="mt-MT"/>
        </w:rPr>
        <w:t xml:space="preserve"> </w:t>
      </w:r>
      <w:r>
        <w:rPr>
          <w:rFonts w:ascii="Arial" w:hAnsi="Arial" w:cs="Arial"/>
          <w:lang w:val="mt-MT"/>
        </w:rPr>
        <w:t>which needs to be preserved</w:t>
      </w:r>
      <w:r w:rsidR="00352EAE">
        <w:rPr>
          <w:rFonts w:ascii="Arial" w:hAnsi="Arial" w:cs="Arial"/>
          <w:lang w:val="mt-MT"/>
        </w:rPr>
        <w:t xml:space="preserve"> since it is</w:t>
      </w:r>
      <w:r w:rsidR="00352EAE" w:rsidRPr="00352EAE">
        <w:rPr>
          <w:rFonts w:ascii="Arial" w:hAnsi="Arial" w:cs="Arial"/>
          <w:lang w:val="mt-MT"/>
        </w:rPr>
        <w:t xml:space="preserve"> under particular threat because of islands' shortness of space, climate change, habitat destruction by building on the shore line and pollution.</w:t>
      </w:r>
      <w:r>
        <w:rPr>
          <w:rFonts w:ascii="Arial" w:hAnsi="Arial" w:cs="Arial"/>
          <w:lang w:val="mt-MT"/>
        </w:rPr>
        <w:t xml:space="preserve"> </w:t>
      </w:r>
      <w:r w:rsidR="00A23C60">
        <w:rPr>
          <w:rFonts w:ascii="Arial" w:hAnsi="Arial" w:cs="Arial"/>
          <w:lang w:val="mt-MT"/>
        </w:rPr>
        <w:t xml:space="preserve">Islands </w:t>
      </w:r>
      <w:r w:rsidR="00A23C60" w:rsidRPr="00A23C60">
        <w:rPr>
          <w:rFonts w:ascii="Arial" w:hAnsi="Arial" w:cs="Arial"/>
          <w:lang w:val="mt-MT"/>
        </w:rPr>
        <w:t>are also among the most vulnerable regions to rising sea levels, drought and flooding</w:t>
      </w:r>
      <w:r w:rsidR="00A23C60">
        <w:rPr>
          <w:rFonts w:ascii="Arial" w:hAnsi="Arial" w:cs="Arial"/>
          <w:lang w:val="mt-MT"/>
        </w:rPr>
        <w:t>.</w:t>
      </w:r>
    </w:p>
    <w:p w14:paraId="2A78A449" w14:textId="77777777" w:rsidR="00AF0C8D" w:rsidRDefault="00AF0C8D" w:rsidP="00AF0C8D">
      <w:pPr>
        <w:pStyle w:val="ListParagraph"/>
        <w:spacing w:after="200" w:line="240" w:lineRule="auto"/>
        <w:jc w:val="both"/>
        <w:rPr>
          <w:rFonts w:ascii="Arial" w:hAnsi="Arial" w:cs="Arial"/>
          <w:lang w:val="mt-MT"/>
        </w:rPr>
      </w:pPr>
    </w:p>
    <w:p w14:paraId="2BD0058D" w14:textId="240A4F5C" w:rsidR="004976D3" w:rsidRPr="00A23C60" w:rsidRDefault="000466A5" w:rsidP="00A23C60">
      <w:pPr>
        <w:pStyle w:val="ListParagraph"/>
        <w:spacing w:after="200" w:line="240" w:lineRule="auto"/>
        <w:jc w:val="both"/>
        <w:rPr>
          <w:rFonts w:ascii="Arial" w:hAnsi="Arial" w:cs="Arial"/>
          <w:lang w:val="mt-MT"/>
        </w:rPr>
      </w:pPr>
      <w:r>
        <w:rPr>
          <w:rFonts w:ascii="Arial" w:hAnsi="Arial" w:cs="Arial"/>
          <w:lang w:val="mt-MT"/>
        </w:rPr>
        <w:t xml:space="preserve">This amendment may allow state aid to be provided in such a way that these sites may </w:t>
      </w:r>
      <w:r w:rsidR="00B13C93">
        <w:rPr>
          <w:rFonts w:ascii="Arial" w:hAnsi="Arial" w:cs="Arial"/>
          <w:lang w:val="mt-MT"/>
        </w:rPr>
        <w:t>be properly managed also for tourism purposes</w:t>
      </w:r>
      <w:r w:rsidR="00AF0C8D">
        <w:rPr>
          <w:rFonts w:ascii="Arial" w:hAnsi="Arial" w:cs="Arial"/>
          <w:lang w:val="mt-MT"/>
        </w:rPr>
        <w:t xml:space="preserve">, given that </w:t>
      </w:r>
      <w:r w:rsidR="00AF0C8D" w:rsidRPr="00AF0C8D">
        <w:rPr>
          <w:rFonts w:ascii="Arial" w:hAnsi="Arial" w:cs="Arial"/>
          <w:lang w:val="mt-MT"/>
        </w:rPr>
        <w:t>tourism sector</w:t>
      </w:r>
      <w:r w:rsidR="00A23C60">
        <w:rPr>
          <w:rFonts w:ascii="Arial" w:hAnsi="Arial" w:cs="Arial"/>
          <w:lang w:val="mt-MT"/>
        </w:rPr>
        <w:t xml:space="preserve"> </w:t>
      </w:r>
      <w:r w:rsidR="00AF0C8D" w:rsidRPr="00A23C60">
        <w:rPr>
          <w:rFonts w:ascii="Arial" w:hAnsi="Arial" w:cs="Arial"/>
          <w:lang w:val="mt-MT"/>
        </w:rPr>
        <w:t>depends on the good condition of natural habitats and ecosystems. The Natura 2000 network offers several possibilities for development of sustainable tourism products, but this development needs to be properly managed in order to prevent any possible deterioration or disturbance in these areas</w:t>
      </w:r>
    </w:p>
    <w:p w14:paraId="7276EABD" w14:textId="77777777" w:rsidR="00216467" w:rsidRPr="00216467" w:rsidRDefault="00216467" w:rsidP="00216467">
      <w:pPr>
        <w:pStyle w:val="ListParagraph"/>
        <w:spacing w:after="200" w:line="240" w:lineRule="auto"/>
        <w:jc w:val="both"/>
        <w:rPr>
          <w:rFonts w:ascii="Arial" w:hAnsi="Arial" w:cs="Arial"/>
          <w:lang w:val="mt-MT"/>
        </w:rPr>
      </w:pPr>
    </w:p>
    <w:p w14:paraId="574E261D" w14:textId="69851DB5" w:rsidR="00261D41" w:rsidRDefault="00267E7C" w:rsidP="00AA3D17">
      <w:pPr>
        <w:pStyle w:val="ListParagraph"/>
        <w:spacing w:after="200" w:line="240" w:lineRule="auto"/>
        <w:jc w:val="both"/>
        <w:rPr>
          <w:rFonts w:ascii="Arial" w:hAnsi="Arial" w:cs="Arial"/>
          <w:lang w:val="mt-MT"/>
        </w:rPr>
      </w:pPr>
      <w:r w:rsidRPr="00D54A06">
        <w:rPr>
          <w:rFonts w:ascii="Arial" w:hAnsi="Arial" w:cs="Arial"/>
          <w:lang w:val="mt-MT"/>
        </w:rPr>
        <w:t xml:space="preserve">The inclusion of hydrogen under the </w:t>
      </w:r>
      <w:r w:rsidR="00F54F4D" w:rsidRPr="00D54A06">
        <w:rPr>
          <w:rFonts w:ascii="Arial" w:hAnsi="Arial" w:cs="Arial"/>
          <w:lang w:val="mt-MT"/>
        </w:rPr>
        <w:t>proposed Regulation</w:t>
      </w:r>
      <w:r w:rsidR="00F535CA" w:rsidRPr="00D54A06">
        <w:rPr>
          <w:rFonts w:ascii="Arial" w:hAnsi="Arial" w:cs="Arial"/>
          <w:lang w:val="mt-MT"/>
        </w:rPr>
        <w:t xml:space="preserve"> is also an important development</w:t>
      </w:r>
      <w:r w:rsidR="00321CB2" w:rsidRPr="00D54A06">
        <w:rPr>
          <w:rFonts w:ascii="Arial" w:hAnsi="Arial" w:cs="Arial"/>
          <w:lang w:val="mt-MT"/>
        </w:rPr>
        <w:t xml:space="preserve"> given </w:t>
      </w:r>
      <w:r w:rsidR="00D54A06" w:rsidRPr="00D54A06">
        <w:rPr>
          <w:rFonts w:ascii="Arial" w:hAnsi="Arial" w:cs="Arial"/>
          <w:lang w:val="mt-MT"/>
        </w:rPr>
        <w:t xml:space="preserve">the </w:t>
      </w:r>
      <w:r w:rsidR="00D54A06">
        <w:rPr>
          <w:rFonts w:ascii="Arial" w:hAnsi="Arial" w:cs="Arial"/>
          <w:lang w:val="mt-MT"/>
        </w:rPr>
        <w:t xml:space="preserve">importance </w:t>
      </w:r>
      <w:r w:rsidR="00D54A06" w:rsidRPr="00D54A06">
        <w:rPr>
          <w:rFonts w:ascii="Arial" w:hAnsi="Arial" w:cs="Arial"/>
          <w:lang w:val="mt-MT"/>
        </w:rPr>
        <w:t xml:space="preserve">of the role of hydrogen in decarbonising EU islands </w:t>
      </w:r>
      <w:r w:rsidR="00D54A06">
        <w:rPr>
          <w:rFonts w:ascii="Arial" w:hAnsi="Arial" w:cs="Arial"/>
          <w:lang w:val="mt-MT"/>
        </w:rPr>
        <w:t xml:space="preserve">and </w:t>
      </w:r>
      <w:r w:rsidR="00D54A06" w:rsidRPr="00D54A06">
        <w:rPr>
          <w:rFonts w:ascii="Arial" w:hAnsi="Arial" w:cs="Arial"/>
          <w:lang w:val="mt-MT"/>
        </w:rPr>
        <w:t>the ability of hydrogen &amp; associated technologies to decarbonise islands, while generating jobs and growth needed for the</w:t>
      </w:r>
      <w:r w:rsidR="00D54A06">
        <w:rPr>
          <w:rFonts w:ascii="Arial" w:hAnsi="Arial" w:cs="Arial"/>
          <w:lang w:val="mt-MT"/>
        </w:rPr>
        <w:t>ir</w:t>
      </w:r>
      <w:r w:rsidR="00D54A06" w:rsidRPr="00D54A06">
        <w:rPr>
          <w:rFonts w:ascii="Arial" w:hAnsi="Arial" w:cs="Arial"/>
          <w:lang w:val="mt-MT"/>
        </w:rPr>
        <w:t xml:space="preserve"> economic recovery</w:t>
      </w:r>
      <w:r w:rsidR="00D54A06">
        <w:rPr>
          <w:rFonts w:ascii="Arial" w:hAnsi="Arial" w:cs="Arial"/>
          <w:lang w:val="mt-MT"/>
        </w:rPr>
        <w:t xml:space="preserve">, given that </w:t>
      </w:r>
      <w:r w:rsidR="00D54A06" w:rsidRPr="00D54A06">
        <w:rPr>
          <w:rFonts w:ascii="Arial" w:hAnsi="Arial" w:cs="Arial"/>
          <w:lang w:val="mt-MT"/>
        </w:rPr>
        <w:t>Islands are confronted with a number of energy challenges due to their specific geographic constraints</w:t>
      </w:r>
      <w:r w:rsidR="00D54A06">
        <w:rPr>
          <w:rFonts w:ascii="Arial" w:hAnsi="Arial" w:cs="Arial"/>
          <w:lang w:val="mt-MT"/>
        </w:rPr>
        <w:t xml:space="preserve">. </w:t>
      </w:r>
    </w:p>
    <w:p w14:paraId="11C0AC30" w14:textId="77777777" w:rsidR="00D54A06" w:rsidRPr="00261D41" w:rsidRDefault="00D54A06" w:rsidP="00261D41">
      <w:pPr>
        <w:pStyle w:val="ListParagraph"/>
        <w:spacing w:after="200" w:line="240" w:lineRule="auto"/>
        <w:jc w:val="both"/>
        <w:rPr>
          <w:lang w:val="mt-MT"/>
        </w:rPr>
      </w:pPr>
    </w:p>
    <w:p w14:paraId="33D5E87C" w14:textId="32D19C25" w:rsidR="001A4FF0" w:rsidRPr="00AA3D17" w:rsidRDefault="00DF2F40" w:rsidP="001A4FF0">
      <w:pPr>
        <w:pStyle w:val="ListParagraph"/>
        <w:numPr>
          <w:ilvl w:val="0"/>
          <w:numId w:val="1"/>
        </w:numPr>
        <w:spacing w:after="200" w:line="240" w:lineRule="auto"/>
        <w:ind w:left="714" w:hanging="357"/>
        <w:jc w:val="both"/>
        <w:rPr>
          <w:rFonts w:ascii="Arial" w:hAnsi="Arial" w:cs="Arial"/>
          <w:lang w:val="mt-MT"/>
        </w:rPr>
      </w:pPr>
      <w:r w:rsidRPr="00AA3D17">
        <w:rPr>
          <w:rFonts w:ascii="Arial" w:hAnsi="Arial" w:cs="Arial"/>
          <w:lang w:val="mt-MT"/>
        </w:rPr>
        <w:t>The reference in article 49</w:t>
      </w:r>
      <w:r w:rsidR="00A7702D" w:rsidRPr="00AA3D17">
        <w:rPr>
          <w:rFonts w:ascii="Arial" w:hAnsi="Arial" w:cs="Arial"/>
          <w:lang w:val="mt-MT"/>
        </w:rPr>
        <w:t xml:space="preserve">, </w:t>
      </w:r>
      <w:r w:rsidR="003B07D4" w:rsidRPr="00AA3D17">
        <w:rPr>
          <w:rFonts w:ascii="Arial" w:hAnsi="Arial" w:cs="Arial"/>
          <w:lang w:val="mt-MT"/>
        </w:rPr>
        <w:t>paragraph</w:t>
      </w:r>
      <w:r w:rsidR="00A7702D" w:rsidRPr="00AA3D17">
        <w:rPr>
          <w:rFonts w:ascii="Arial" w:hAnsi="Arial" w:cs="Arial"/>
          <w:lang w:val="mt-MT"/>
        </w:rPr>
        <w:t xml:space="preserve"> 37 (b)</w:t>
      </w:r>
      <w:r w:rsidR="003442E3" w:rsidRPr="00AA3D17">
        <w:rPr>
          <w:rFonts w:ascii="Arial" w:hAnsi="Arial" w:cs="Arial"/>
          <w:lang w:val="mt-MT"/>
        </w:rPr>
        <w:t xml:space="preserve"> of the type of inter</w:t>
      </w:r>
      <w:r w:rsidR="00030B77" w:rsidRPr="00AA3D17">
        <w:rPr>
          <w:rFonts w:ascii="Arial" w:hAnsi="Arial" w:cs="Arial"/>
          <w:lang w:val="mt-MT"/>
        </w:rPr>
        <w:t>ventions that are considered compatible for state aid purposes</w:t>
      </w:r>
      <w:r w:rsidR="002F7BE8" w:rsidRPr="00AA3D17">
        <w:rPr>
          <w:rFonts w:ascii="Arial" w:hAnsi="Arial" w:cs="Arial"/>
          <w:lang w:val="mt-MT"/>
        </w:rPr>
        <w:t xml:space="preserve"> is also an important clarification</w:t>
      </w:r>
      <w:r w:rsidR="00A43B6E" w:rsidRPr="00AA3D17">
        <w:rPr>
          <w:rFonts w:ascii="Arial" w:hAnsi="Arial" w:cs="Arial"/>
          <w:lang w:val="mt-MT"/>
        </w:rPr>
        <w:t>,</w:t>
      </w:r>
      <w:r w:rsidR="002F7BE8" w:rsidRPr="00AA3D17">
        <w:rPr>
          <w:rFonts w:ascii="Arial" w:hAnsi="Arial" w:cs="Arial"/>
          <w:lang w:val="mt-MT"/>
        </w:rPr>
        <w:t xml:space="preserve"> which should also assist in the formulation of future policy at national level.</w:t>
      </w:r>
      <w:r w:rsidR="006169E9" w:rsidRPr="00AA3D17">
        <w:rPr>
          <w:rFonts w:ascii="Arial" w:hAnsi="Arial" w:cs="Arial"/>
          <w:lang w:val="mt-MT"/>
        </w:rPr>
        <w:t xml:space="preserve">  The </w:t>
      </w:r>
      <w:r w:rsidR="00946AE5" w:rsidRPr="00AA3D17">
        <w:rPr>
          <w:rFonts w:ascii="Arial" w:hAnsi="Arial" w:cs="Arial"/>
          <w:lang w:val="mt-MT"/>
        </w:rPr>
        <w:t xml:space="preserve">inclusion of </w:t>
      </w:r>
      <w:r w:rsidR="006169E9" w:rsidRPr="00AA3D17">
        <w:rPr>
          <w:rFonts w:ascii="Arial" w:hAnsi="Arial" w:cs="Arial"/>
          <w:lang w:val="mt-MT"/>
        </w:rPr>
        <w:t>residential buildings is also important considering</w:t>
      </w:r>
      <w:r w:rsidR="006572E5" w:rsidRPr="00AA3D17">
        <w:rPr>
          <w:rFonts w:ascii="Arial" w:hAnsi="Arial" w:cs="Arial"/>
          <w:lang w:val="mt-MT"/>
        </w:rPr>
        <w:t xml:space="preserve"> the number of apartment blocks on </w:t>
      </w:r>
      <w:r w:rsidR="00D54A06" w:rsidRPr="00AA3D17">
        <w:rPr>
          <w:rFonts w:ascii="Arial" w:hAnsi="Arial" w:cs="Arial"/>
          <w:lang w:val="mt-MT"/>
        </w:rPr>
        <w:t>some</w:t>
      </w:r>
      <w:r w:rsidR="006572E5" w:rsidRPr="00AA3D17">
        <w:rPr>
          <w:rFonts w:ascii="Arial" w:hAnsi="Arial" w:cs="Arial"/>
          <w:lang w:val="mt-MT"/>
        </w:rPr>
        <w:t xml:space="preserve"> island</w:t>
      </w:r>
      <w:r w:rsidR="00D54A06" w:rsidRPr="00AA3D17">
        <w:rPr>
          <w:rFonts w:ascii="Arial" w:hAnsi="Arial" w:cs="Arial"/>
          <w:lang w:val="mt-MT"/>
        </w:rPr>
        <w:t>s</w:t>
      </w:r>
      <w:r w:rsidR="006572E5" w:rsidRPr="00AA3D17">
        <w:rPr>
          <w:rFonts w:ascii="Arial" w:hAnsi="Arial" w:cs="Arial"/>
          <w:lang w:val="mt-MT"/>
        </w:rPr>
        <w:t>, and the need for the</w:t>
      </w:r>
      <w:r w:rsidR="00D54A06" w:rsidRPr="00AA3D17">
        <w:rPr>
          <w:rFonts w:ascii="Arial" w:hAnsi="Arial" w:cs="Arial"/>
          <w:lang w:val="mt-MT"/>
        </w:rPr>
        <w:t>ir respective</w:t>
      </w:r>
      <w:r w:rsidR="006572E5" w:rsidRPr="00AA3D17">
        <w:rPr>
          <w:rFonts w:ascii="Arial" w:hAnsi="Arial" w:cs="Arial"/>
          <w:lang w:val="mt-MT"/>
        </w:rPr>
        <w:t xml:space="preserve"> Government</w:t>
      </w:r>
      <w:r w:rsidR="00D54A06" w:rsidRPr="00AA3D17">
        <w:rPr>
          <w:rFonts w:ascii="Arial" w:hAnsi="Arial" w:cs="Arial"/>
          <w:lang w:val="mt-MT"/>
        </w:rPr>
        <w:t>s</w:t>
      </w:r>
      <w:r w:rsidR="006572E5" w:rsidRPr="00AA3D17">
        <w:rPr>
          <w:rFonts w:ascii="Arial" w:hAnsi="Arial" w:cs="Arial"/>
          <w:lang w:val="mt-MT"/>
        </w:rPr>
        <w:t xml:space="preserve"> to intervene to </w:t>
      </w:r>
      <w:r w:rsidR="00B11DF2" w:rsidRPr="00AA3D17">
        <w:rPr>
          <w:rFonts w:ascii="Arial" w:hAnsi="Arial" w:cs="Arial"/>
          <w:lang w:val="mt-MT"/>
        </w:rPr>
        <w:t>ensure the uptake of initiatives to en</w:t>
      </w:r>
      <w:r w:rsidR="00FA4729" w:rsidRPr="00AA3D17">
        <w:rPr>
          <w:rFonts w:ascii="Arial" w:hAnsi="Arial" w:cs="Arial"/>
          <w:lang w:val="mt-MT"/>
        </w:rPr>
        <w:t>hance</w:t>
      </w:r>
      <w:r w:rsidR="00B11DF2" w:rsidRPr="00AA3D17">
        <w:rPr>
          <w:rFonts w:ascii="Arial" w:hAnsi="Arial" w:cs="Arial"/>
          <w:lang w:val="mt-MT"/>
        </w:rPr>
        <w:t xml:space="preserve"> their sustainability.</w:t>
      </w:r>
      <w:r w:rsidR="00802BB7" w:rsidRPr="00AA3D17">
        <w:rPr>
          <w:rFonts w:ascii="Arial" w:hAnsi="Arial" w:cs="Arial"/>
          <w:lang w:val="mt-MT"/>
        </w:rPr>
        <w:t xml:space="preserve">  Apartment blocks may</w:t>
      </w:r>
      <w:r w:rsidR="0095228B" w:rsidRPr="00AA3D17">
        <w:rPr>
          <w:rFonts w:ascii="Arial" w:hAnsi="Arial" w:cs="Arial"/>
          <w:lang w:val="mt-MT"/>
        </w:rPr>
        <w:t xml:space="preserve"> in fact</w:t>
      </w:r>
      <w:r w:rsidR="00802BB7" w:rsidRPr="00AA3D17">
        <w:rPr>
          <w:rFonts w:ascii="Arial" w:hAnsi="Arial" w:cs="Arial"/>
          <w:lang w:val="mt-MT"/>
        </w:rPr>
        <w:t xml:space="preserve"> require more large scale and costly interventions</w:t>
      </w:r>
      <w:r w:rsidR="001A4FF0" w:rsidRPr="00AA3D17">
        <w:rPr>
          <w:rFonts w:ascii="Arial" w:hAnsi="Arial" w:cs="Arial"/>
          <w:lang w:val="mt-MT"/>
        </w:rPr>
        <w:t xml:space="preserve"> in order to increas</w:t>
      </w:r>
      <w:r w:rsidR="00B32FDB" w:rsidRPr="00AA3D17">
        <w:rPr>
          <w:rFonts w:ascii="Arial" w:hAnsi="Arial" w:cs="Arial"/>
          <w:lang w:val="mt-MT"/>
        </w:rPr>
        <w:t>e</w:t>
      </w:r>
      <w:r w:rsidR="001A4FF0" w:rsidRPr="00AA3D17">
        <w:rPr>
          <w:rFonts w:ascii="Arial" w:hAnsi="Arial" w:cs="Arial"/>
          <w:lang w:val="mt-MT"/>
        </w:rPr>
        <w:t xml:space="preserve">their energy efficiency.  </w:t>
      </w:r>
    </w:p>
    <w:p w14:paraId="3044B6BD" w14:textId="77777777" w:rsidR="001A4FF0" w:rsidRPr="00AA3D17" w:rsidRDefault="001A4FF0" w:rsidP="001A4FF0">
      <w:pPr>
        <w:pStyle w:val="ListParagraph"/>
        <w:rPr>
          <w:rFonts w:ascii="Arial" w:hAnsi="Arial" w:cs="Arial"/>
          <w:lang w:val="mt-MT"/>
        </w:rPr>
      </w:pPr>
    </w:p>
    <w:p w14:paraId="2A428833" w14:textId="5246301B" w:rsidR="00F41B8B" w:rsidRPr="00267E87" w:rsidRDefault="00F41B8B" w:rsidP="001A4FF0">
      <w:pPr>
        <w:pStyle w:val="ListParagraph"/>
        <w:numPr>
          <w:ilvl w:val="0"/>
          <w:numId w:val="1"/>
        </w:numPr>
        <w:spacing w:after="200" w:line="240" w:lineRule="auto"/>
        <w:jc w:val="both"/>
        <w:rPr>
          <w:rFonts w:ascii="Arial" w:hAnsi="Arial" w:cs="Arial"/>
          <w:lang w:val="mt-MT"/>
        </w:rPr>
      </w:pPr>
      <w:r w:rsidRPr="00AA3D17">
        <w:rPr>
          <w:rFonts w:ascii="Arial" w:hAnsi="Arial" w:cs="Arial"/>
          <w:lang w:val="mt-MT"/>
        </w:rPr>
        <w:t>Overall, the inclusion of</w:t>
      </w:r>
      <w:r w:rsidR="00FA4322" w:rsidRPr="00AA3D17">
        <w:rPr>
          <w:rFonts w:ascii="Arial" w:hAnsi="Arial" w:cs="Arial"/>
          <w:lang w:val="mt-MT"/>
        </w:rPr>
        <w:t xml:space="preserve"> the </w:t>
      </w:r>
      <w:r w:rsidR="005571D7" w:rsidRPr="00AA3D17">
        <w:rPr>
          <w:rFonts w:ascii="Arial" w:hAnsi="Arial" w:cs="Arial"/>
          <w:lang w:val="mt-MT"/>
        </w:rPr>
        <w:t>amendments</w:t>
      </w:r>
      <w:r w:rsidR="00B31AA4" w:rsidRPr="00AA3D17">
        <w:rPr>
          <w:rFonts w:ascii="Arial" w:hAnsi="Arial" w:cs="Arial"/>
          <w:lang w:val="mt-MT"/>
        </w:rPr>
        <w:t xml:space="preserve"> </w:t>
      </w:r>
      <w:r w:rsidR="006F4DA1" w:rsidRPr="00AA3D17">
        <w:rPr>
          <w:rFonts w:ascii="Arial" w:hAnsi="Arial" w:cs="Arial"/>
          <w:lang w:val="mt-MT"/>
        </w:rPr>
        <w:t xml:space="preserve">in the </w:t>
      </w:r>
      <w:r w:rsidR="005571D7" w:rsidRPr="00AA3D17">
        <w:rPr>
          <w:rFonts w:ascii="Arial" w:hAnsi="Arial" w:cs="Arial"/>
          <w:lang w:val="mt-MT"/>
        </w:rPr>
        <w:t xml:space="preserve">proposed Commission Regulation </w:t>
      </w:r>
      <w:r w:rsidR="006F4DA1" w:rsidRPr="00AA3D17">
        <w:rPr>
          <w:rFonts w:ascii="Arial" w:hAnsi="Arial" w:cs="Arial"/>
          <w:lang w:val="mt-MT"/>
        </w:rPr>
        <w:t>amending Regulation</w:t>
      </w:r>
      <w:r w:rsidR="008B72DA" w:rsidRPr="00AA3D17">
        <w:rPr>
          <w:rFonts w:ascii="Arial" w:hAnsi="Arial" w:cs="Arial"/>
          <w:lang w:val="mt-MT"/>
        </w:rPr>
        <w:t xml:space="preserve"> No 651/2014 declaring certain categories of aid compatible with the internal market</w:t>
      </w:r>
      <w:r w:rsidR="00FA4322" w:rsidRPr="00AA3D17">
        <w:rPr>
          <w:rFonts w:ascii="Arial" w:hAnsi="Arial" w:cs="Arial"/>
          <w:lang w:val="mt-MT"/>
        </w:rPr>
        <w:t xml:space="preserve"> in the application of article 107 and 108 of the treaty</w:t>
      </w:r>
      <w:r w:rsidR="005571D7" w:rsidRPr="00AA3D17">
        <w:rPr>
          <w:rFonts w:ascii="Arial" w:hAnsi="Arial" w:cs="Arial"/>
          <w:lang w:val="mt-MT"/>
        </w:rPr>
        <w:t xml:space="preserve">, </w:t>
      </w:r>
      <w:r w:rsidR="00B31AA4" w:rsidRPr="00AA3D17">
        <w:rPr>
          <w:rFonts w:ascii="Arial" w:hAnsi="Arial" w:cs="Arial"/>
          <w:lang w:val="mt-MT"/>
        </w:rPr>
        <w:t>are</w:t>
      </w:r>
      <w:r w:rsidR="005571D7" w:rsidRPr="00AA3D17">
        <w:rPr>
          <w:rFonts w:ascii="Arial" w:hAnsi="Arial" w:cs="Arial"/>
          <w:lang w:val="mt-MT"/>
        </w:rPr>
        <w:t xml:space="preserve"> a positive step.  However,</w:t>
      </w:r>
      <w:r w:rsidR="007967B6" w:rsidRPr="00AA3D17">
        <w:rPr>
          <w:rFonts w:ascii="Arial" w:hAnsi="Arial" w:cs="Arial"/>
          <w:lang w:val="mt-MT"/>
        </w:rPr>
        <w:t xml:space="preserve"> ideally</w:t>
      </w:r>
      <w:r w:rsidR="005571D7" w:rsidRPr="00AA3D17">
        <w:rPr>
          <w:rFonts w:ascii="Arial" w:hAnsi="Arial" w:cs="Arial"/>
          <w:lang w:val="mt-MT"/>
        </w:rPr>
        <w:t xml:space="preserve"> it must be ensured that</w:t>
      </w:r>
      <w:r w:rsidR="00B31AA4" w:rsidRPr="00AA3D17">
        <w:rPr>
          <w:rFonts w:ascii="Arial" w:hAnsi="Arial" w:cs="Arial"/>
          <w:lang w:val="mt-MT"/>
        </w:rPr>
        <w:t xml:space="preserve"> the proposed Commission Regulation</w:t>
      </w:r>
      <w:r w:rsidR="005571D7" w:rsidRPr="00AA3D17">
        <w:rPr>
          <w:rFonts w:ascii="Arial" w:hAnsi="Arial" w:cs="Arial"/>
          <w:lang w:val="mt-MT"/>
        </w:rPr>
        <w:t xml:space="preserve"> is structured in such a way</w:t>
      </w:r>
      <w:r w:rsidR="00B31AA4" w:rsidRPr="00AA3D17">
        <w:rPr>
          <w:rFonts w:ascii="Arial" w:hAnsi="Arial" w:cs="Arial"/>
          <w:lang w:val="mt-MT"/>
        </w:rPr>
        <w:t xml:space="preserve"> that if a new technology</w:t>
      </w:r>
      <w:r w:rsidR="00D34DBD" w:rsidRPr="00AA3D17">
        <w:rPr>
          <w:rFonts w:ascii="Arial" w:hAnsi="Arial" w:cs="Arial"/>
          <w:lang w:val="mt-MT"/>
        </w:rPr>
        <w:t xml:space="preserve"> linked to new forms of renewable energy</w:t>
      </w:r>
      <w:r w:rsidR="00B31AA4" w:rsidRPr="00AA3D17">
        <w:rPr>
          <w:rFonts w:ascii="Arial" w:hAnsi="Arial" w:cs="Arial"/>
          <w:lang w:val="mt-MT"/>
        </w:rPr>
        <w:t xml:space="preserve"> is d</w:t>
      </w:r>
      <w:r w:rsidR="00D34DBD" w:rsidRPr="00AA3D17">
        <w:rPr>
          <w:rFonts w:ascii="Arial" w:hAnsi="Arial" w:cs="Arial"/>
          <w:lang w:val="mt-MT"/>
        </w:rPr>
        <w:t>eveloped</w:t>
      </w:r>
      <w:r w:rsidR="00B31AA4" w:rsidRPr="00AA3D17">
        <w:rPr>
          <w:rFonts w:ascii="Arial" w:hAnsi="Arial" w:cs="Arial"/>
          <w:lang w:val="mt-MT"/>
        </w:rPr>
        <w:t xml:space="preserve"> in the coming years</w:t>
      </w:r>
      <w:r w:rsidR="007967B6" w:rsidRPr="00AA3D17">
        <w:rPr>
          <w:rFonts w:ascii="Arial" w:hAnsi="Arial" w:cs="Arial"/>
          <w:lang w:val="mt-MT"/>
        </w:rPr>
        <w:t xml:space="preserve">, it should be in a position to allow </w:t>
      </w:r>
      <w:r w:rsidR="00277A20" w:rsidRPr="00AA3D17">
        <w:rPr>
          <w:rFonts w:ascii="Arial" w:hAnsi="Arial" w:cs="Arial"/>
          <w:lang w:val="mt-MT"/>
        </w:rPr>
        <w:t xml:space="preserve">it </w:t>
      </w:r>
      <w:r w:rsidR="00CE51E5" w:rsidRPr="00AA3D17">
        <w:rPr>
          <w:rFonts w:ascii="Arial" w:hAnsi="Arial" w:cs="Arial"/>
          <w:lang w:val="mt-MT"/>
        </w:rPr>
        <w:t>and includ</w:t>
      </w:r>
      <w:r w:rsidR="00D34DBD" w:rsidRPr="00AA3D17">
        <w:rPr>
          <w:rFonts w:ascii="Arial" w:hAnsi="Arial" w:cs="Arial"/>
          <w:lang w:val="mt-MT"/>
        </w:rPr>
        <w:t>e</w:t>
      </w:r>
      <w:r w:rsidR="00277A20" w:rsidRPr="00AA3D17">
        <w:rPr>
          <w:rFonts w:ascii="Arial" w:hAnsi="Arial" w:cs="Arial"/>
          <w:lang w:val="mt-MT"/>
        </w:rPr>
        <w:t xml:space="preserve"> it</w:t>
      </w:r>
      <w:r w:rsidR="00CE51E5" w:rsidRPr="00AA3D17">
        <w:rPr>
          <w:rFonts w:ascii="Arial" w:hAnsi="Arial" w:cs="Arial"/>
          <w:lang w:val="mt-MT"/>
        </w:rPr>
        <w:t xml:space="preserve"> in the said regulation in a very rapid manner</w:t>
      </w:r>
      <w:r w:rsidR="00752B7D" w:rsidRPr="00AA3D17">
        <w:rPr>
          <w:rFonts w:ascii="Arial" w:hAnsi="Arial" w:cs="Arial"/>
          <w:lang w:val="mt-MT"/>
        </w:rPr>
        <w:t>.</w:t>
      </w:r>
      <w:r w:rsidR="00E623CD" w:rsidRPr="00AA3D17">
        <w:rPr>
          <w:rFonts w:ascii="Arial" w:hAnsi="Arial" w:cs="Arial"/>
          <w:lang w:val="mt-MT"/>
        </w:rPr>
        <w:t xml:space="preserve">  </w:t>
      </w:r>
      <w:r w:rsidR="00947FD5" w:rsidRPr="00AA3D17">
        <w:rPr>
          <w:rFonts w:ascii="Arial" w:hAnsi="Arial" w:cs="Arial"/>
          <w:lang w:val="mt-MT"/>
        </w:rPr>
        <w:t>Competitivity will be more and more linked to sustainabiliy</w:t>
      </w:r>
      <w:r w:rsidR="000A693B" w:rsidRPr="00AA3D17">
        <w:rPr>
          <w:rFonts w:ascii="Arial" w:hAnsi="Arial" w:cs="Arial"/>
          <w:lang w:val="mt-MT"/>
        </w:rPr>
        <w:t xml:space="preserve"> in the coming years</w:t>
      </w:r>
      <w:r w:rsidR="00947FD5" w:rsidRPr="00AA3D17">
        <w:rPr>
          <w:rFonts w:ascii="Arial" w:hAnsi="Arial" w:cs="Arial"/>
          <w:lang w:val="mt-MT"/>
        </w:rPr>
        <w:t xml:space="preserve">.  Having a regulation which would enable countries </w:t>
      </w:r>
      <w:r w:rsidR="000A693B" w:rsidRPr="00AA3D17">
        <w:rPr>
          <w:rFonts w:ascii="Arial" w:hAnsi="Arial" w:cs="Arial"/>
          <w:lang w:val="mt-MT"/>
        </w:rPr>
        <w:t xml:space="preserve">in the European Union </w:t>
      </w:r>
      <w:r w:rsidR="00947FD5" w:rsidRPr="00AA3D17">
        <w:rPr>
          <w:rFonts w:ascii="Arial" w:hAnsi="Arial" w:cs="Arial"/>
          <w:lang w:val="mt-MT"/>
        </w:rPr>
        <w:t xml:space="preserve">to </w:t>
      </w:r>
      <w:r w:rsidR="00CF51DA" w:rsidRPr="00AA3D17">
        <w:rPr>
          <w:rFonts w:ascii="Arial" w:hAnsi="Arial" w:cs="Arial"/>
          <w:lang w:val="mt-MT"/>
        </w:rPr>
        <w:t>be early adopters of new technologies</w:t>
      </w:r>
      <w:r w:rsidR="00091068" w:rsidRPr="00AA3D17">
        <w:rPr>
          <w:rFonts w:ascii="Arial" w:hAnsi="Arial" w:cs="Arial"/>
          <w:lang w:val="mt-MT"/>
        </w:rPr>
        <w:t xml:space="preserve"> is of utmost importance.  </w:t>
      </w:r>
      <w:r w:rsidR="00E623CD" w:rsidRPr="00AA3D17">
        <w:rPr>
          <w:rFonts w:ascii="Arial" w:hAnsi="Arial" w:cs="Arial"/>
          <w:lang w:val="mt-MT"/>
        </w:rPr>
        <w:t xml:space="preserve">This would ensure that countries forming part of the European Union </w:t>
      </w:r>
      <w:r w:rsidR="0043198D" w:rsidRPr="00AA3D17">
        <w:rPr>
          <w:rFonts w:ascii="Arial" w:hAnsi="Arial" w:cs="Arial"/>
          <w:lang w:val="mt-MT"/>
        </w:rPr>
        <w:t xml:space="preserve">and their islands in particular </w:t>
      </w:r>
      <w:r w:rsidR="00E623CD" w:rsidRPr="00AA3D17">
        <w:rPr>
          <w:rFonts w:ascii="Arial" w:hAnsi="Arial" w:cs="Arial"/>
          <w:lang w:val="mt-MT"/>
        </w:rPr>
        <w:t>would remain competitive</w:t>
      </w:r>
      <w:r w:rsidR="00975D55" w:rsidRPr="00AA3D17">
        <w:rPr>
          <w:rFonts w:ascii="Arial" w:hAnsi="Arial" w:cs="Arial"/>
          <w:lang w:val="mt-MT"/>
        </w:rPr>
        <w:t xml:space="preserve"> and at the forefront of new emerging technolgies</w:t>
      </w:r>
      <w:r w:rsidR="00975D55" w:rsidRPr="00267E87">
        <w:rPr>
          <w:rFonts w:ascii="Arial" w:hAnsi="Arial" w:cs="Arial"/>
          <w:lang w:val="mt-MT"/>
        </w:rPr>
        <w:t>.</w:t>
      </w:r>
    </w:p>
    <w:p w14:paraId="2F0E993E" w14:textId="77777777" w:rsidR="00D70592" w:rsidRPr="00D70592" w:rsidRDefault="00D70592" w:rsidP="00D70592">
      <w:pPr>
        <w:pStyle w:val="ListParagraph"/>
        <w:rPr>
          <w:rFonts w:ascii="Arial" w:hAnsi="Arial" w:cs="Arial"/>
          <w:lang w:val="mt-MT"/>
        </w:rPr>
      </w:pPr>
    </w:p>
    <w:p w14:paraId="69B0648E" w14:textId="2E6006CB" w:rsidR="00D70592" w:rsidRPr="00C71396" w:rsidRDefault="00D70592" w:rsidP="00C71396">
      <w:pPr>
        <w:pStyle w:val="ListParagraph"/>
        <w:numPr>
          <w:ilvl w:val="0"/>
          <w:numId w:val="1"/>
        </w:numPr>
        <w:spacing w:after="200" w:line="240" w:lineRule="auto"/>
        <w:jc w:val="both"/>
        <w:rPr>
          <w:rFonts w:ascii="Arial" w:hAnsi="Arial" w:cs="Arial"/>
          <w:lang w:val="mt-MT"/>
        </w:rPr>
      </w:pPr>
      <w:r>
        <w:rPr>
          <w:rFonts w:ascii="Arial" w:hAnsi="Arial" w:cs="Arial"/>
          <w:lang w:val="mt-MT"/>
        </w:rPr>
        <w:t>INSULEUR agrees with t</w:t>
      </w:r>
      <w:r w:rsidRPr="00D70592">
        <w:rPr>
          <w:rFonts w:ascii="Arial" w:hAnsi="Arial" w:cs="Arial"/>
          <w:lang w:val="mt-MT"/>
        </w:rPr>
        <w:t xml:space="preserve">he </w:t>
      </w:r>
      <w:r>
        <w:rPr>
          <w:rFonts w:ascii="Arial" w:hAnsi="Arial" w:cs="Arial"/>
          <w:lang w:val="mt-MT"/>
        </w:rPr>
        <w:t xml:space="preserve">fact that the </w:t>
      </w:r>
      <w:r w:rsidRPr="00D70592">
        <w:rPr>
          <w:rFonts w:ascii="Arial" w:hAnsi="Arial" w:cs="Arial"/>
          <w:lang w:val="mt-MT"/>
        </w:rPr>
        <w:t xml:space="preserve">provisions of Regulation (EU) No 651/2014 concerning operating aid for the promotion of energy from renewable sources should be expanded </w:t>
      </w:r>
      <w:r w:rsidR="00267E87">
        <w:rPr>
          <w:rFonts w:ascii="Arial" w:hAnsi="Arial" w:cs="Arial"/>
          <w:lang w:val="mt-MT"/>
        </w:rPr>
        <w:t>to include</w:t>
      </w:r>
      <w:r w:rsidRPr="00D70592">
        <w:rPr>
          <w:rFonts w:ascii="Arial" w:hAnsi="Arial" w:cs="Arial"/>
          <w:lang w:val="mt-MT"/>
        </w:rPr>
        <w:t>renewable energy communities, in accordance with Directive (EU) No 2018/2001 of the European Parliament and of the Council12.</w:t>
      </w:r>
      <w:r>
        <w:rPr>
          <w:rFonts w:ascii="Arial" w:hAnsi="Arial" w:cs="Arial"/>
          <w:lang w:val="mt-MT"/>
        </w:rPr>
        <w:t xml:space="preserve"> Indeed, f</w:t>
      </w:r>
      <w:r w:rsidRPr="00D70592">
        <w:rPr>
          <w:rFonts w:ascii="Arial" w:hAnsi="Arial" w:cs="Arial"/>
          <w:lang w:val="mt-MT"/>
        </w:rPr>
        <w:t xml:space="preserve">or EU Islands, </w:t>
      </w:r>
      <w:r>
        <w:rPr>
          <w:rFonts w:ascii="Arial" w:hAnsi="Arial" w:cs="Arial"/>
          <w:lang w:val="mt-MT"/>
        </w:rPr>
        <w:t>empowering</w:t>
      </w:r>
      <w:r w:rsidRPr="00D70592">
        <w:rPr>
          <w:rFonts w:ascii="Arial" w:hAnsi="Arial" w:cs="Arial"/>
          <w:lang w:val="mt-MT"/>
        </w:rPr>
        <w:t xml:space="preserve"> citizens and small producers under</w:t>
      </w:r>
      <w:r>
        <w:rPr>
          <w:rFonts w:ascii="Arial" w:hAnsi="Arial" w:cs="Arial"/>
          <w:lang w:val="mt-MT"/>
        </w:rPr>
        <w:t xml:space="preserve"> </w:t>
      </w:r>
      <w:r w:rsidRPr="00D70592">
        <w:rPr>
          <w:rFonts w:ascii="Arial" w:hAnsi="Arial" w:cs="Arial"/>
          <w:lang w:val="mt-MT"/>
        </w:rPr>
        <w:t>the concept of Renewable (REDII) or Citizens (EMD) Energy Communities</w:t>
      </w:r>
      <w:r>
        <w:rPr>
          <w:rFonts w:ascii="Arial" w:hAnsi="Arial" w:cs="Arial"/>
          <w:lang w:val="mt-MT"/>
        </w:rPr>
        <w:t xml:space="preserve"> is ouf outermost importance for Islands as it allows direct participation </w:t>
      </w:r>
      <w:r w:rsidRPr="00D70592">
        <w:rPr>
          <w:rFonts w:ascii="Arial" w:hAnsi="Arial" w:cs="Arial"/>
          <w:lang w:val="mt-MT"/>
        </w:rPr>
        <w:t>in the energy transition by jointly investing in, producing, selling and distributing</w:t>
      </w:r>
      <w:r>
        <w:rPr>
          <w:rFonts w:ascii="Arial" w:hAnsi="Arial" w:cs="Arial"/>
          <w:lang w:val="mt-MT"/>
        </w:rPr>
        <w:t xml:space="preserve"> </w:t>
      </w:r>
      <w:r w:rsidRPr="00D70592">
        <w:rPr>
          <w:rFonts w:ascii="Arial" w:hAnsi="Arial" w:cs="Arial"/>
          <w:lang w:val="mt-MT"/>
        </w:rPr>
        <w:t>renewable energy.</w:t>
      </w:r>
      <w:r>
        <w:rPr>
          <w:rFonts w:ascii="Arial" w:hAnsi="Arial" w:cs="Arial"/>
          <w:lang w:val="mt-MT"/>
        </w:rPr>
        <w:t xml:space="preserve"> </w:t>
      </w:r>
      <w:r w:rsidR="00C71396">
        <w:rPr>
          <w:rFonts w:ascii="Arial" w:hAnsi="Arial" w:cs="Arial"/>
          <w:lang w:val="mt-MT"/>
        </w:rPr>
        <w:t>The particpation</w:t>
      </w:r>
      <w:r w:rsidRPr="00D70592">
        <w:rPr>
          <w:rFonts w:ascii="Arial" w:hAnsi="Arial" w:cs="Arial"/>
          <w:lang w:val="mt-MT"/>
        </w:rPr>
        <w:t xml:space="preserve"> of local citizens and local authorities </w:t>
      </w:r>
      <w:r w:rsidR="00C71396">
        <w:rPr>
          <w:rFonts w:ascii="Arial" w:hAnsi="Arial" w:cs="Arial"/>
          <w:lang w:val="mt-MT"/>
        </w:rPr>
        <w:t>(</w:t>
      </w:r>
      <w:r w:rsidR="00C71396" w:rsidRPr="00C71396">
        <w:rPr>
          <w:rFonts w:ascii="Arial" w:hAnsi="Arial" w:cs="Arial"/>
          <w:lang w:val="mt-MT"/>
        </w:rPr>
        <w:t>groups</w:t>
      </w:r>
      <w:r w:rsidR="00C71396">
        <w:rPr>
          <w:rFonts w:ascii="Arial" w:hAnsi="Arial" w:cs="Arial"/>
          <w:lang w:val="mt-MT"/>
        </w:rPr>
        <w:t xml:space="preserve"> </w:t>
      </w:r>
      <w:r w:rsidR="00C71396" w:rsidRPr="00C71396">
        <w:rPr>
          <w:rFonts w:ascii="Arial" w:hAnsi="Arial" w:cs="Arial"/>
          <w:lang w:val="mt-MT"/>
        </w:rPr>
        <w:t xml:space="preserve">of citizens, </w:t>
      </w:r>
      <w:r w:rsidR="00C71396">
        <w:rPr>
          <w:rFonts w:ascii="Arial" w:hAnsi="Arial" w:cs="Arial"/>
          <w:lang w:val="mt-MT"/>
        </w:rPr>
        <w:t xml:space="preserve">SMEs, </w:t>
      </w:r>
      <w:r w:rsidR="00C71396" w:rsidRPr="00C71396">
        <w:rPr>
          <w:rFonts w:ascii="Arial" w:hAnsi="Arial" w:cs="Arial"/>
          <w:lang w:val="mt-MT"/>
        </w:rPr>
        <w:t>social entrepreneurs, public authorities and community organisations</w:t>
      </w:r>
      <w:r w:rsidR="00C71396">
        <w:rPr>
          <w:rFonts w:ascii="Arial" w:hAnsi="Arial" w:cs="Arial"/>
          <w:lang w:val="mt-MT"/>
        </w:rPr>
        <w:t>)</w:t>
      </w:r>
      <w:r w:rsidR="00C71396" w:rsidRPr="00C71396">
        <w:rPr>
          <w:rFonts w:ascii="Arial" w:hAnsi="Arial" w:cs="Arial"/>
          <w:lang w:val="mt-MT"/>
        </w:rPr>
        <w:t xml:space="preserve"> </w:t>
      </w:r>
      <w:r w:rsidRPr="00C71396">
        <w:rPr>
          <w:rFonts w:ascii="Arial" w:hAnsi="Arial" w:cs="Arial"/>
          <w:lang w:val="mt-MT"/>
        </w:rPr>
        <w:t xml:space="preserve">in renewable energy projects through renewable energy communities has resulted in substantial added value in terms of local acceptance of renewable energy and access to additional private capital which results in local investment, more choice for consumers and greater participation by citizens in the energy transition. Therefore, </w:t>
      </w:r>
      <w:r w:rsidR="00C71396" w:rsidRPr="00C71396">
        <w:rPr>
          <w:rFonts w:ascii="Arial" w:hAnsi="Arial" w:cs="Arial"/>
          <w:lang w:val="mt-MT"/>
        </w:rPr>
        <w:t xml:space="preserve">this would </w:t>
      </w:r>
      <w:r w:rsidRPr="00C71396">
        <w:rPr>
          <w:rFonts w:ascii="Arial" w:hAnsi="Arial" w:cs="Arial"/>
          <w:lang w:val="mt-MT"/>
        </w:rPr>
        <w:t xml:space="preserve">ensure that renewable energy communities can participate in available support schemes on an equal footing with large participants. </w:t>
      </w:r>
    </w:p>
    <w:p w14:paraId="18FBDC79" w14:textId="77777777" w:rsidR="00975D55" w:rsidRPr="00975D55" w:rsidRDefault="00975D55" w:rsidP="00975D55">
      <w:pPr>
        <w:pStyle w:val="ListParagraph"/>
        <w:rPr>
          <w:rFonts w:ascii="Arial" w:hAnsi="Arial" w:cs="Arial"/>
          <w:lang w:val="mt-MT"/>
        </w:rPr>
      </w:pPr>
    </w:p>
    <w:p w14:paraId="6AA29A8C" w14:textId="4DD44CF1" w:rsidR="00752B7D" w:rsidRPr="00752B7D" w:rsidRDefault="002F23BB" w:rsidP="002F23BB">
      <w:pPr>
        <w:pStyle w:val="ListParagraph"/>
        <w:numPr>
          <w:ilvl w:val="0"/>
          <w:numId w:val="1"/>
        </w:numPr>
        <w:spacing w:after="200" w:line="240" w:lineRule="auto"/>
        <w:jc w:val="both"/>
        <w:rPr>
          <w:rFonts w:ascii="Arial" w:hAnsi="Arial" w:cs="Arial"/>
          <w:lang w:val="mt-MT"/>
        </w:rPr>
      </w:pPr>
      <w:r>
        <w:rPr>
          <w:rFonts w:ascii="Arial" w:hAnsi="Arial" w:cs="Arial"/>
          <w:lang w:val="mt-MT"/>
        </w:rPr>
        <w:lastRenderedPageBreak/>
        <w:t>INSULEUR</w:t>
      </w:r>
      <w:r w:rsidR="00975D55">
        <w:rPr>
          <w:rFonts w:ascii="Arial" w:hAnsi="Arial" w:cs="Arial"/>
          <w:lang w:val="mt-MT"/>
        </w:rPr>
        <w:t xml:space="preserve"> would also like to c</w:t>
      </w:r>
      <w:r w:rsidR="0036470B">
        <w:rPr>
          <w:rFonts w:ascii="Arial" w:hAnsi="Arial" w:cs="Arial"/>
          <w:lang w:val="mt-MT"/>
        </w:rPr>
        <w:t xml:space="preserve">omment that an </w:t>
      </w:r>
      <w:r w:rsidR="002272FC">
        <w:rPr>
          <w:rFonts w:ascii="Arial" w:hAnsi="Arial" w:cs="Arial"/>
          <w:lang w:val="mt-MT"/>
        </w:rPr>
        <w:t xml:space="preserve">important inclusion in this Regulation </w:t>
      </w:r>
      <w:r>
        <w:rPr>
          <w:rFonts w:ascii="Arial" w:hAnsi="Arial" w:cs="Arial"/>
          <w:lang w:val="mt-MT"/>
        </w:rPr>
        <w:t>sh</w:t>
      </w:r>
      <w:r w:rsidR="00A367A8">
        <w:rPr>
          <w:rFonts w:ascii="Arial" w:hAnsi="Arial" w:cs="Arial"/>
          <w:lang w:val="mt-MT"/>
        </w:rPr>
        <w:t xml:space="preserve">ould be the assistance provided by </w:t>
      </w:r>
      <w:r w:rsidR="002E4B39">
        <w:rPr>
          <w:rFonts w:ascii="Arial" w:hAnsi="Arial" w:cs="Arial"/>
          <w:lang w:val="mt-MT"/>
        </w:rPr>
        <w:t xml:space="preserve">the </w:t>
      </w:r>
      <w:r w:rsidR="00A367A8">
        <w:rPr>
          <w:rFonts w:ascii="Arial" w:hAnsi="Arial" w:cs="Arial"/>
          <w:lang w:val="mt-MT"/>
        </w:rPr>
        <w:t>Government</w:t>
      </w:r>
      <w:r>
        <w:rPr>
          <w:rFonts w:ascii="Arial" w:hAnsi="Arial" w:cs="Arial"/>
          <w:lang w:val="mt-MT"/>
        </w:rPr>
        <w:t>s</w:t>
      </w:r>
      <w:r w:rsidR="00A367A8">
        <w:rPr>
          <w:rFonts w:ascii="Arial" w:hAnsi="Arial" w:cs="Arial"/>
          <w:lang w:val="mt-MT"/>
        </w:rPr>
        <w:t xml:space="preserve"> </w:t>
      </w:r>
      <w:r w:rsidR="0036470B">
        <w:rPr>
          <w:rFonts w:ascii="Arial" w:hAnsi="Arial" w:cs="Arial"/>
          <w:lang w:val="mt-MT"/>
        </w:rPr>
        <w:t>to deploy new technologies on islands</w:t>
      </w:r>
      <w:r w:rsidR="00A367A8">
        <w:rPr>
          <w:rFonts w:ascii="Arial" w:hAnsi="Arial" w:cs="Arial"/>
          <w:lang w:val="mt-MT"/>
        </w:rPr>
        <w:t>, prior to these being launched on a national level</w:t>
      </w:r>
      <w:r w:rsidR="0036470B">
        <w:rPr>
          <w:rFonts w:ascii="Arial" w:hAnsi="Arial" w:cs="Arial"/>
          <w:lang w:val="mt-MT"/>
        </w:rPr>
        <w:t>.  Islands all over the European</w:t>
      </w:r>
      <w:r w:rsidR="002E4B39">
        <w:rPr>
          <w:rFonts w:ascii="Arial" w:hAnsi="Arial" w:cs="Arial"/>
          <w:lang w:val="mt-MT"/>
        </w:rPr>
        <w:t xml:space="preserve"> Union</w:t>
      </w:r>
      <w:r w:rsidR="0036470B">
        <w:rPr>
          <w:rFonts w:ascii="Arial" w:hAnsi="Arial" w:cs="Arial"/>
          <w:lang w:val="mt-MT"/>
        </w:rPr>
        <w:t xml:space="preserve"> </w:t>
      </w:r>
      <w:r>
        <w:rPr>
          <w:rFonts w:ascii="Arial" w:hAnsi="Arial" w:cs="Arial"/>
          <w:lang w:val="mt-MT"/>
        </w:rPr>
        <w:t xml:space="preserve">have proved to </w:t>
      </w:r>
      <w:r w:rsidR="0036470B">
        <w:rPr>
          <w:rFonts w:ascii="Arial" w:hAnsi="Arial" w:cs="Arial"/>
          <w:lang w:val="mt-MT"/>
        </w:rPr>
        <w:t>form ideal test beds for the deployment of new technologies.</w:t>
      </w:r>
      <w:r w:rsidR="00767E97">
        <w:rPr>
          <w:rFonts w:ascii="Arial" w:hAnsi="Arial" w:cs="Arial"/>
          <w:lang w:val="mt-MT"/>
        </w:rPr>
        <w:t xml:space="preserve">  Presently islands </w:t>
      </w:r>
      <w:r w:rsidR="00D359BE">
        <w:rPr>
          <w:rFonts w:ascii="Arial" w:hAnsi="Arial" w:cs="Arial"/>
          <w:lang w:val="mt-MT"/>
        </w:rPr>
        <w:t xml:space="preserve">are still over dependent on tourism.  </w:t>
      </w:r>
      <w:r w:rsidR="00904CA6">
        <w:rPr>
          <w:rFonts w:ascii="Arial" w:hAnsi="Arial" w:cs="Arial"/>
          <w:lang w:val="mt-MT"/>
        </w:rPr>
        <w:t xml:space="preserve">Enabling them to be testbeds for the deployment of new sustainable solutions could create </w:t>
      </w:r>
      <w:r w:rsidR="00A21095">
        <w:rPr>
          <w:rFonts w:ascii="Arial" w:hAnsi="Arial" w:cs="Arial"/>
          <w:lang w:val="mt-MT"/>
        </w:rPr>
        <w:t>im</w:t>
      </w:r>
      <w:r w:rsidR="00B61403">
        <w:rPr>
          <w:rFonts w:ascii="Arial" w:hAnsi="Arial" w:cs="Arial"/>
          <w:lang w:val="mt-MT"/>
        </w:rPr>
        <w:t>portant economic niches which would provide real value added to these territories.</w:t>
      </w:r>
      <w:r w:rsidRPr="002F23BB">
        <w:t xml:space="preserve"> </w:t>
      </w:r>
    </w:p>
    <w:p w14:paraId="28128C71" w14:textId="77777777" w:rsidR="00752B7D" w:rsidRDefault="00752B7D" w:rsidP="004976D3">
      <w:pPr>
        <w:pStyle w:val="ListParagraph"/>
        <w:spacing w:after="200" w:line="240" w:lineRule="auto"/>
        <w:jc w:val="both"/>
        <w:rPr>
          <w:rFonts w:ascii="Arial" w:hAnsi="Arial" w:cs="Arial"/>
          <w:lang w:val="mt-MT"/>
        </w:rPr>
      </w:pPr>
    </w:p>
    <w:p w14:paraId="2D5CF73B" w14:textId="77777777" w:rsidR="00752B7D" w:rsidRPr="00752B7D" w:rsidRDefault="00752B7D" w:rsidP="004976D3">
      <w:pPr>
        <w:pStyle w:val="ListParagraph"/>
        <w:pBdr>
          <w:bottom w:val="single" w:sz="12" w:space="1" w:color="auto"/>
        </w:pBdr>
        <w:spacing w:after="200" w:line="240" w:lineRule="auto"/>
        <w:ind w:left="0"/>
        <w:rPr>
          <w:rFonts w:ascii="Arial" w:hAnsi="Arial" w:cs="Arial"/>
          <w:lang w:val="mt-MT"/>
        </w:rPr>
      </w:pPr>
    </w:p>
    <w:p w14:paraId="36636BE2" w14:textId="77777777" w:rsidR="00752B7D" w:rsidRPr="00752B7D" w:rsidRDefault="00752B7D" w:rsidP="00752B7D">
      <w:pPr>
        <w:jc w:val="both"/>
        <w:rPr>
          <w:rFonts w:ascii="Arial" w:hAnsi="Arial" w:cs="Arial"/>
          <w:lang w:val="mt-MT"/>
        </w:rPr>
      </w:pPr>
    </w:p>
    <w:sectPr w:rsidR="00752B7D" w:rsidRPr="00752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00C8"/>
    <w:multiLevelType w:val="hybridMultilevel"/>
    <w:tmpl w:val="5EFC6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2A4422"/>
    <w:multiLevelType w:val="hybridMultilevel"/>
    <w:tmpl w:val="1C3C9B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69"/>
    <w:rsid w:val="00015A94"/>
    <w:rsid w:val="00030B77"/>
    <w:rsid w:val="000466A5"/>
    <w:rsid w:val="000602BD"/>
    <w:rsid w:val="0006533D"/>
    <w:rsid w:val="00091068"/>
    <w:rsid w:val="0009410A"/>
    <w:rsid w:val="000A693B"/>
    <w:rsid w:val="000C2C99"/>
    <w:rsid w:val="000D4D9E"/>
    <w:rsid w:val="0012754D"/>
    <w:rsid w:val="0013567D"/>
    <w:rsid w:val="0015095B"/>
    <w:rsid w:val="00156610"/>
    <w:rsid w:val="001A4FF0"/>
    <w:rsid w:val="001C1DFD"/>
    <w:rsid w:val="00216467"/>
    <w:rsid w:val="002272FC"/>
    <w:rsid w:val="00236606"/>
    <w:rsid w:val="00261D41"/>
    <w:rsid w:val="00267E7C"/>
    <w:rsid w:val="00267E87"/>
    <w:rsid w:val="00277A20"/>
    <w:rsid w:val="002D0D28"/>
    <w:rsid w:val="002E4B39"/>
    <w:rsid w:val="002E530B"/>
    <w:rsid w:val="002F017D"/>
    <w:rsid w:val="002F166E"/>
    <w:rsid w:val="002F23BB"/>
    <w:rsid w:val="002F7BE8"/>
    <w:rsid w:val="00312EF2"/>
    <w:rsid w:val="00321CB2"/>
    <w:rsid w:val="00341928"/>
    <w:rsid w:val="003442E3"/>
    <w:rsid w:val="00352EAE"/>
    <w:rsid w:val="00357E79"/>
    <w:rsid w:val="0036470B"/>
    <w:rsid w:val="00372EBB"/>
    <w:rsid w:val="00373008"/>
    <w:rsid w:val="0037569A"/>
    <w:rsid w:val="00394679"/>
    <w:rsid w:val="003B07D4"/>
    <w:rsid w:val="003B1E25"/>
    <w:rsid w:val="003B20EA"/>
    <w:rsid w:val="0043198D"/>
    <w:rsid w:val="004976D3"/>
    <w:rsid w:val="004B31E5"/>
    <w:rsid w:val="004D0009"/>
    <w:rsid w:val="00504D7F"/>
    <w:rsid w:val="00510021"/>
    <w:rsid w:val="00514873"/>
    <w:rsid w:val="0052661D"/>
    <w:rsid w:val="00530759"/>
    <w:rsid w:val="005571D7"/>
    <w:rsid w:val="00571247"/>
    <w:rsid w:val="00583E66"/>
    <w:rsid w:val="005A4EB4"/>
    <w:rsid w:val="005C67A5"/>
    <w:rsid w:val="006169E9"/>
    <w:rsid w:val="00624EBF"/>
    <w:rsid w:val="006572E5"/>
    <w:rsid w:val="006575D0"/>
    <w:rsid w:val="006B0B90"/>
    <w:rsid w:val="006B3EAA"/>
    <w:rsid w:val="006D4427"/>
    <w:rsid w:val="006D51A9"/>
    <w:rsid w:val="006F4DA1"/>
    <w:rsid w:val="006F574F"/>
    <w:rsid w:val="007026A4"/>
    <w:rsid w:val="007508DA"/>
    <w:rsid w:val="00752B7D"/>
    <w:rsid w:val="00755AD9"/>
    <w:rsid w:val="00767E97"/>
    <w:rsid w:val="0079334E"/>
    <w:rsid w:val="007935B8"/>
    <w:rsid w:val="007967B6"/>
    <w:rsid w:val="007C0234"/>
    <w:rsid w:val="007E6529"/>
    <w:rsid w:val="00802BB7"/>
    <w:rsid w:val="008172D1"/>
    <w:rsid w:val="00825C05"/>
    <w:rsid w:val="00847D06"/>
    <w:rsid w:val="008576F8"/>
    <w:rsid w:val="008743DE"/>
    <w:rsid w:val="00892F58"/>
    <w:rsid w:val="008B1644"/>
    <w:rsid w:val="008B72DA"/>
    <w:rsid w:val="008C73A1"/>
    <w:rsid w:val="008D7343"/>
    <w:rsid w:val="008E178C"/>
    <w:rsid w:val="00902129"/>
    <w:rsid w:val="00904CA6"/>
    <w:rsid w:val="00912A6F"/>
    <w:rsid w:val="00946AE5"/>
    <w:rsid w:val="00947FD5"/>
    <w:rsid w:val="0095228B"/>
    <w:rsid w:val="00966137"/>
    <w:rsid w:val="00975D55"/>
    <w:rsid w:val="0097698B"/>
    <w:rsid w:val="009C1B87"/>
    <w:rsid w:val="00A1751E"/>
    <w:rsid w:val="00A21095"/>
    <w:rsid w:val="00A23C60"/>
    <w:rsid w:val="00A367A8"/>
    <w:rsid w:val="00A402F6"/>
    <w:rsid w:val="00A40E5B"/>
    <w:rsid w:val="00A43B6E"/>
    <w:rsid w:val="00A4749F"/>
    <w:rsid w:val="00A6541A"/>
    <w:rsid w:val="00A742B9"/>
    <w:rsid w:val="00A7702D"/>
    <w:rsid w:val="00A95932"/>
    <w:rsid w:val="00AA3D17"/>
    <w:rsid w:val="00AD64DA"/>
    <w:rsid w:val="00AE1727"/>
    <w:rsid w:val="00AF0C8D"/>
    <w:rsid w:val="00B11DF2"/>
    <w:rsid w:val="00B13C93"/>
    <w:rsid w:val="00B203DA"/>
    <w:rsid w:val="00B31AA4"/>
    <w:rsid w:val="00B32FDB"/>
    <w:rsid w:val="00B428BF"/>
    <w:rsid w:val="00B52E58"/>
    <w:rsid w:val="00B53485"/>
    <w:rsid w:val="00B61403"/>
    <w:rsid w:val="00BB7E78"/>
    <w:rsid w:val="00BC0767"/>
    <w:rsid w:val="00BE1A25"/>
    <w:rsid w:val="00C109E4"/>
    <w:rsid w:val="00C5427F"/>
    <w:rsid w:val="00C71396"/>
    <w:rsid w:val="00C816E4"/>
    <w:rsid w:val="00C97B74"/>
    <w:rsid w:val="00CA76F8"/>
    <w:rsid w:val="00CE51E5"/>
    <w:rsid w:val="00CE6396"/>
    <w:rsid w:val="00CF51DA"/>
    <w:rsid w:val="00D00FD4"/>
    <w:rsid w:val="00D01707"/>
    <w:rsid w:val="00D14F8C"/>
    <w:rsid w:val="00D34DBD"/>
    <w:rsid w:val="00D359BE"/>
    <w:rsid w:val="00D54A06"/>
    <w:rsid w:val="00D634F9"/>
    <w:rsid w:val="00D70592"/>
    <w:rsid w:val="00DA0268"/>
    <w:rsid w:val="00DA61EB"/>
    <w:rsid w:val="00DA7714"/>
    <w:rsid w:val="00DF2F40"/>
    <w:rsid w:val="00DF66F3"/>
    <w:rsid w:val="00E03D0B"/>
    <w:rsid w:val="00E20109"/>
    <w:rsid w:val="00E4412D"/>
    <w:rsid w:val="00E50669"/>
    <w:rsid w:val="00E623CD"/>
    <w:rsid w:val="00E8400C"/>
    <w:rsid w:val="00EC3612"/>
    <w:rsid w:val="00F347C0"/>
    <w:rsid w:val="00F41B8B"/>
    <w:rsid w:val="00F535CA"/>
    <w:rsid w:val="00F54F4D"/>
    <w:rsid w:val="00F75E41"/>
    <w:rsid w:val="00FA4322"/>
    <w:rsid w:val="00FA4729"/>
    <w:rsid w:val="00FE737A"/>
    <w:rsid w:val="00FF47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EA70"/>
  <w15:chartTrackingRefBased/>
  <w15:docId w15:val="{87712AD1-5FCD-402B-A9E9-8BCDA8D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90"/>
    <w:pPr>
      <w:ind w:left="720"/>
      <w:contextualSpacing/>
    </w:pPr>
  </w:style>
  <w:style w:type="table" w:styleId="TableGrid">
    <w:name w:val="Table Grid"/>
    <w:basedOn w:val="TableNormal"/>
    <w:uiPriority w:val="39"/>
    <w:rsid w:val="00DA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0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A7032CE079D47945FB0AF4430FA33" ma:contentTypeVersion="13" ma:contentTypeDescription="Create a new document." ma:contentTypeScope="" ma:versionID="b9d0088713e9eb033e3e7f01d52540ff">
  <xsd:schema xmlns:xsd="http://www.w3.org/2001/XMLSchema" xmlns:xs="http://www.w3.org/2001/XMLSchema" xmlns:p="http://schemas.microsoft.com/office/2006/metadata/properties" xmlns:ns2="349c1967-3c0a-4f73-ad7f-c386b30ea37c" xmlns:ns3="6f69a6fe-892c-4aa6-b190-2b1c56127db9" targetNamespace="http://schemas.microsoft.com/office/2006/metadata/properties" ma:root="true" ma:fieldsID="4cbec0be52abacfa08aef4c37e2cf97d" ns2:_="" ns3:_="">
    <xsd:import namespace="349c1967-3c0a-4f73-ad7f-c386b30ea37c"/>
    <xsd:import namespace="6f69a6fe-892c-4aa6-b190-2b1c56127d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1967-3c0a-4f73-ad7f-c386b30ea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69a6fe-892c-4aa6-b190-2b1c56127d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2101E-254A-4362-A0AE-90C05AAE8546}">
  <ds:schemaRefs>
    <ds:schemaRef ds:uri="http://schemas.microsoft.com/sharepoint/v3/contenttype/forms"/>
  </ds:schemaRefs>
</ds:datastoreItem>
</file>

<file path=customXml/itemProps2.xml><?xml version="1.0" encoding="utf-8"?>
<ds:datastoreItem xmlns:ds="http://schemas.openxmlformats.org/officeDocument/2006/customXml" ds:itemID="{39D377D4-5B93-4797-A466-C61767DC98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51D668-7BE8-4E9E-A65C-0A691D98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1967-3c0a-4f73-ad7f-c386b30ea37c"/>
    <ds:schemaRef ds:uri="6f69a6fe-892c-4aa6-b190-2b1c56127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Borg</dc:creator>
  <cp:keywords/>
  <dc:description/>
  <cp:lastModifiedBy>irene mikelis</cp:lastModifiedBy>
  <cp:revision>2</cp:revision>
  <dcterms:created xsi:type="dcterms:W3CDTF">2021-12-06T09:53:00Z</dcterms:created>
  <dcterms:modified xsi:type="dcterms:W3CDTF">2021-12-06T09:53:00Z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0x010100599A7032CE079D47945FB0AF4430FA33</vt:lpwstr>
  </property>
</Properties>
</file>