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3274A" w14:textId="77777777" w:rsidR="008D7496" w:rsidRDefault="008D7496" w:rsidP="008D7496">
      <w:pPr>
        <w:jc w:val="center"/>
        <w:rPr>
          <w:sz w:val="28"/>
          <w:szCs w:val="28"/>
          <w:lang w:val="en-GB"/>
        </w:rPr>
      </w:pPr>
      <w:bookmarkStart w:id="0" w:name="_Hlk22211284"/>
      <w:bookmarkEnd w:id="0"/>
    </w:p>
    <w:p w14:paraId="02B74561" w14:textId="77777777" w:rsidR="008D7496" w:rsidRDefault="008D7496" w:rsidP="008D7496">
      <w:pPr>
        <w:jc w:val="center"/>
        <w:rPr>
          <w:sz w:val="28"/>
          <w:szCs w:val="28"/>
          <w:lang w:val="en-GB"/>
        </w:rPr>
      </w:pPr>
    </w:p>
    <w:p w14:paraId="4BED4A7E" w14:textId="77777777" w:rsidR="008D7496" w:rsidRDefault="008D7496" w:rsidP="008D7496">
      <w:pPr>
        <w:jc w:val="center"/>
        <w:rPr>
          <w:sz w:val="28"/>
          <w:szCs w:val="28"/>
          <w:lang w:val="en-GB"/>
        </w:rPr>
      </w:pPr>
    </w:p>
    <w:p w14:paraId="694F9CB7" w14:textId="77777777" w:rsidR="008D7496" w:rsidRDefault="008D7496" w:rsidP="008D7496">
      <w:pPr>
        <w:jc w:val="center"/>
        <w:rPr>
          <w:sz w:val="28"/>
          <w:szCs w:val="28"/>
          <w:lang w:val="en-GB"/>
        </w:rPr>
      </w:pPr>
    </w:p>
    <w:p w14:paraId="2E3BFA43" w14:textId="77777777" w:rsidR="008D7496" w:rsidRDefault="008D7496" w:rsidP="008D7496">
      <w:pPr>
        <w:jc w:val="center"/>
        <w:rPr>
          <w:sz w:val="28"/>
          <w:szCs w:val="28"/>
          <w:lang w:val="en-GB"/>
        </w:rPr>
      </w:pPr>
    </w:p>
    <w:p w14:paraId="4DFCB7C0" w14:textId="77777777" w:rsidR="008D7496" w:rsidRDefault="008D7496" w:rsidP="008D7496">
      <w:pPr>
        <w:jc w:val="center"/>
        <w:rPr>
          <w:sz w:val="28"/>
          <w:szCs w:val="28"/>
          <w:lang w:val="en-GB"/>
        </w:rPr>
      </w:pPr>
    </w:p>
    <w:p w14:paraId="01D83CB3" w14:textId="2C51BB2F" w:rsidR="002E6B90" w:rsidRDefault="00340208" w:rsidP="008D7496">
      <w:pPr>
        <w:jc w:val="center"/>
        <w:rPr>
          <w:sz w:val="28"/>
          <w:szCs w:val="28"/>
          <w:lang w:val="en-GB"/>
        </w:rPr>
      </w:pPr>
      <w:r>
        <w:rPr>
          <w:sz w:val="28"/>
          <w:szCs w:val="28"/>
          <w:lang w:val="en-GB"/>
        </w:rPr>
        <w:t xml:space="preserve">Enhancing the Contribution of </w:t>
      </w:r>
      <w:r w:rsidR="00051B12">
        <w:rPr>
          <w:sz w:val="28"/>
          <w:szCs w:val="28"/>
          <w:lang w:val="en-GB"/>
        </w:rPr>
        <w:t xml:space="preserve">Business on </w:t>
      </w:r>
      <w:r>
        <w:rPr>
          <w:sz w:val="28"/>
          <w:szCs w:val="28"/>
          <w:lang w:val="en-GB"/>
        </w:rPr>
        <w:t xml:space="preserve">Islands to </w:t>
      </w:r>
      <w:r w:rsidR="00051B12">
        <w:rPr>
          <w:sz w:val="28"/>
          <w:szCs w:val="28"/>
          <w:lang w:val="en-GB"/>
        </w:rPr>
        <w:t xml:space="preserve">Economic </w:t>
      </w:r>
      <w:r>
        <w:rPr>
          <w:sz w:val="28"/>
          <w:szCs w:val="28"/>
          <w:lang w:val="en-GB"/>
        </w:rPr>
        <w:t xml:space="preserve">Development: </w:t>
      </w:r>
      <w:r w:rsidR="00051B12">
        <w:rPr>
          <w:sz w:val="28"/>
          <w:szCs w:val="28"/>
          <w:lang w:val="en-GB"/>
        </w:rPr>
        <w:t xml:space="preserve">A </w:t>
      </w:r>
      <w:r>
        <w:rPr>
          <w:sz w:val="28"/>
          <w:szCs w:val="28"/>
          <w:lang w:val="en-GB"/>
        </w:rPr>
        <w:t xml:space="preserve">Proposal for a </w:t>
      </w:r>
      <w:r w:rsidR="00051B12">
        <w:rPr>
          <w:sz w:val="28"/>
          <w:szCs w:val="28"/>
          <w:lang w:val="en-GB"/>
        </w:rPr>
        <w:t>Flexible</w:t>
      </w:r>
      <w:r>
        <w:rPr>
          <w:sz w:val="28"/>
          <w:szCs w:val="28"/>
          <w:lang w:val="en-GB"/>
        </w:rPr>
        <w:t xml:space="preserve"> Application of the </w:t>
      </w:r>
      <w:r w:rsidR="0074130A">
        <w:rPr>
          <w:sz w:val="28"/>
          <w:szCs w:val="28"/>
          <w:lang w:val="en-GB"/>
        </w:rPr>
        <w:t>D</w:t>
      </w:r>
      <w:r>
        <w:rPr>
          <w:sz w:val="28"/>
          <w:szCs w:val="28"/>
          <w:lang w:val="en-GB"/>
        </w:rPr>
        <w:t xml:space="preserve">e </w:t>
      </w:r>
      <w:r w:rsidR="0074130A">
        <w:rPr>
          <w:sz w:val="28"/>
          <w:szCs w:val="28"/>
          <w:lang w:val="en-GB"/>
        </w:rPr>
        <w:t>M</w:t>
      </w:r>
      <w:r>
        <w:rPr>
          <w:sz w:val="28"/>
          <w:szCs w:val="28"/>
          <w:lang w:val="en-GB"/>
        </w:rPr>
        <w:t xml:space="preserve">inimis </w:t>
      </w:r>
      <w:r w:rsidR="0074130A">
        <w:rPr>
          <w:sz w:val="28"/>
          <w:szCs w:val="28"/>
          <w:lang w:val="en-GB"/>
        </w:rPr>
        <w:t>A</w:t>
      </w:r>
      <w:r>
        <w:rPr>
          <w:sz w:val="28"/>
          <w:szCs w:val="28"/>
          <w:lang w:val="en-GB"/>
        </w:rPr>
        <w:t xml:space="preserve">mount within the </w:t>
      </w:r>
      <w:r w:rsidR="008D7496" w:rsidRPr="008D7496">
        <w:rPr>
          <w:sz w:val="28"/>
          <w:szCs w:val="28"/>
          <w:lang w:val="en-GB"/>
        </w:rPr>
        <w:t xml:space="preserve">State Aid </w:t>
      </w:r>
      <w:r>
        <w:rPr>
          <w:sz w:val="28"/>
          <w:szCs w:val="28"/>
          <w:lang w:val="en-GB"/>
        </w:rPr>
        <w:t>Framework</w:t>
      </w:r>
    </w:p>
    <w:p w14:paraId="5F9D4EE8" w14:textId="758DC703" w:rsidR="008D7496" w:rsidRDefault="008D7496" w:rsidP="008D7496">
      <w:pPr>
        <w:jc w:val="center"/>
        <w:rPr>
          <w:sz w:val="28"/>
          <w:szCs w:val="28"/>
          <w:lang w:val="en-GB"/>
        </w:rPr>
      </w:pPr>
    </w:p>
    <w:p w14:paraId="5B18AE8E" w14:textId="5CED7026" w:rsidR="002B6DA2" w:rsidRDefault="002B6DA2" w:rsidP="008D7496">
      <w:pPr>
        <w:jc w:val="center"/>
        <w:rPr>
          <w:sz w:val="28"/>
          <w:szCs w:val="28"/>
          <w:lang w:val="en-GB"/>
        </w:rPr>
      </w:pPr>
    </w:p>
    <w:p w14:paraId="1BF45798" w14:textId="07D12A61" w:rsidR="002B6DA2" w:rsidRDefault="002B6DA2" w:rsidP="008D7496">
      <w:pPr>
        <w:jc w:val="center"/>
        <w:rPr>
          <w:sz w:val="28"/>
          <w:szCs w:val="28"/>
          <w:lang w:val="en-GB"/>
        </w:rPr>
      </w:pPr>
    </w:p>
    <w:p w14:paraId="7E537BA3" w14:textId="2E210BFA" w:rsidR="002B6DA2" w:rsidRPr="00860A2F" w:rsidRDefault="002B6DA2" w:rsidP="008D7496">
      <w:pPr>
        <w:jc w:val="center"/>
        <w:rPr>
          <w:sz w:val="24"/>
          <w:szCs w:val="24"/>
          <w:lang w:val="en-GB"/>
        </w:rPr>
      </w:pPr>
      <w:r w:rsidRPr="00860A2F">
        <w:rPr>
          <w:sz w:val="24"/>
          <w:szCs w:val="24"/>
          <w:lang w:val="en-GB"/>
        </w:rPr>
        <w:t xml:space="preserve">Position Paper presented at the INSULEUR </w:t>
      </w:r>
      <w:r w:rsidR="008E0EFC">
        <w:rPr>
          <w:sz w:val="24"/>
          <w:szCs w:val="24"/>
          <w:lang w:val="en-GB"/>
        </w:rPr>
        <w:t>General Assembly</w:t>
      </w:r>
      <w:r w:rsidRPr="00860A2F">
        <w:rPr>
          <w:sz w:val="24"/>
          <w:szCs w:val="24"/>
          <w:lang w:val="en-GB"/>
        </w:rPr>
        <w:t xml:space="preserve"> under the Presidency of the Gozo Business Chamber, held on the Island of Gozo on October 24, 2019</w:t>
      </w:r>
    </w:p>
    <w:p w14:paraId="32FAB501" w14:textId="56FEC732" w:rsidR="002B6DA2" w:rsidRDefault="002B6DA2" w:rsidP="008D7496">
      <w:pPr>
        <w:jc w:val="center"/>
        <w:rPr>
          <w:sz w:val="28"/>
          <w:szCs w:val="28"/>
          <w:lang w:val="en-GB"/>
        </w:rPr>
      </w:pPr>
    </w:p>
    <w:p w14:paraId="072CAF38" w14:textId="7A6FCE25" w:rsidR="002B6DA2" w:rsidRDefault="002B6DA2" w:rsidP="008D7496">
      <w:pPr>
        <w:jc w:val="center"/>
        <w:rPr>
          <w:sz w:val="28"/>
          <w:szCs w:val="28"/>
          <w:lang w:val="en-GB"/>
        </w:rPr>
      </w:pPr>
    </w:p>
    <w:p w14:paraId="2E44653E" w14:textId="10ECC27C" w:rsidR="002B6DA2" w:rsidRDefault="002B6DA2" w:rsidP="008D7496">
      <w:pPr>
        <w:jc w:val="center"/>
        <w:rPr>
          <w:sz w:val="28"/>
          <w:szCs w:val="28"/>
          <w:lang w:val="en-GB"/>
        </w:rPr>
      </w:pPr>
    </w:p>
    <w:p w14:paraId="65EDC30C" w14:textId="77777777" w:rsidR="002B6DA2" w:rsidRDefault="002B6DA2" w:rsidP="008D7496">
      <w:pPr>
        <w:jc w:val="center"/>
        <w:rPr>
          <w:sz w:val="28"/>
          <w:szCs w:val="28"/>
          <w:lang w:val="en-GB"/>
        </w:rPr>
      </w:pPr>
    </w:p>
    <w:p w14:paraId="45CCB1D6" w14:textId="7F739586" w:rsidR="002B6DA2" w:rsidRDefault="002B6DA2" w:rsidP="002B6DA2">
      <w:pPr>
        <w:rPr>
          <w:lang w:val="en-GB"/>
        </w:rPr>
      </w:pPr>
    </w:p>
    <w:p w14:paraId="103C2F24" w14:textId="77A723A4" w:rsidR="002B6DA2" w:rsidRDefault="002B6DA2" w:rsidP="002B6DA2">
      <w:pPr>
        <w:rPr>
          <w:lang w:val="en-GB"/>
        </w:rPr>
      </w:pPr>
      <w:r>
        <w:rPr>
          <w:lang w:val="en-GB"/>
        </w:rPr>
        <w:t>Rapporteurs:</w:t>
      </w:r>
    </w:p>
    <w:p w14:paraId="39A07899" w14:textId="409DF2E5" w:rsidR="002B6DA2" w:rsidRDefault="002B6DA2" w:rsidP="002B6DA2">
      <w:pPr>
        <w:rPr>
          <w:lang w:val="en-GB"/>
        </w:rPr>
      </w:pPr>
      <w:r>
        <w:rPr>
          <w:lang w:val="en-GB"/>
        </w:rPr>
        <w:t>Dr Gordon Cordina, Amanda Borg and Victoria Apap</w:t>
      </w:r>
      <w:r>
        <w:rPr>
          <w:rStyle w:val="FootnoteReference"/>
          <w:lang w:val="en-GB"/>
        </w:rPr>
        <w:footnoteReference w:id="1"/>
      </w:r>
    </w:p>
    <w:p w14:paraId="63EB9D14" w14:textId="77777777" w:rsidR="002B6DA2" w:rsidRPr="00860A2F" w:rsidRDefault="002B6DA2" w:rsidP="00860A2F">
      <w:pPr>
        <w:rPr>
          <w:lang w:val="en-GB"/>
        </w:rPr>
      </w:pPr>
    </w:p>
    <w:p w14:paraId="30E8F6BF" w14:textId="77777777" w:rsidR="008D7496" w:rsidRDefault="008D7496">
      <w:pPr>
        <w:rPr>
          <w:sz w:val="28"/>
          <w:szCs w:val="28"/>
          <w:lang w:val="en-GB"/>
        </w:rPr>
      </w:pPr>
      <w:r>
        <w:rPr>
          <w:sz w:val="28"/>
          <w:szCs w:val="28"/>
          <w:lang w:val="en-GB"/>
        </w:rPr>
        <w:br w:type="page"/>
      </w:r>
    </w:p>
    <w:p w14:paraId="744ECD68" w14:textId="70B2BE67" w:rsidR="008D7496" w:rsidRPr="006F5716" w:rsidRDefault="007F7E1E" w:rsidP="007F7E1E">
      <w:pPr>
        <w:rPr>
          <w:b/>
          <w:bCs/>
          <w:sz w:val="24"/>
          <w:szCs w:val="24"/>
          <w:lang w:val="en-GB"/>
        </w:rPr>
      </w:pPr>
      <w:r w:rsidRPr="006F5716">
        <w:rPr>
          <w:b/>
          <w:bCs/>
          <w:sz w:val="24"/>
          <w:szCs w:val="24"/>
          <w:lang w:val="en-GB"/>
        </w:rPr>
        <w:lastRenderedPageBreak/>
        <w:t xml:space="preserve">1.  </w:t>
      </w:r>
      <w:r w:rsidR="003D32B3" w:rsidRPr="006F5716">
        <w:rPr>
          <w:b/>
          <w:bCs/>
          <w:sz w:val="24"/>
          <w:szCs w:val="24"/>
          <w:lang w:val="en-GB"/>
        </w:rPr>
        <w:t>Challenges for Business in EU Islands to fulfil the Potential within the EU Single Market</w:t>
      </w:r>
    </w:p>
    <w:p w14:paraId="24DF2BD0" w14:textId="6234FF18" w:rsidR="003D7022" w:rsidRDefault="003D7022" w:rsidP="006F5716">
      <w:pPr>
        <w:spacing w:before="240"/>
        <w:jc w:val="both"/>
        <w:rPr>
          <w:lang w:val="en-GB"/>
        </w:rPr>
      </w:pPr>
      <w:r w:rsidRPr="005002ED">
        <w:rPr>
          <w:rFonts w:cs="Arial"/>
          <w:lang w:val="en-GB"/>
        </w:rPr>
        <w:t xml:space="preserve">Despite </w:t>
      </w:r>
      <w:r w:rsidR="00BB68B6">
        <w:rPr>
          <w:rFonts w:cs="Arial"/>
          <w:lang w:val="en-GB"/>
        </w:rPr>
        <w:t>the heterogeneity</w:t>
      </w:r>
      <w:r w:rsidR="007117CC" w:rsidRPr="00584BB5">
        <w:rPr>
          <w:rFonts w:cs="Arial"/>
          <w:lang w:val="en-GB"/>
        </w:rPr>
        <w:t xml:space="preserve"> in the characteristics of EU islands</w:t>
      </w:r>
      <w:r w:rsidR="006B2C4E">
        <w:rPr>
          <w:rStyle w:val="FootnoteReference"/>
          <w:rFonts w:cs="Arial"/>
          <w:lang w:val="en-GB"/>
        </w:rPr>
        <w:footnoteReference w:id="2"/>
      </w:r>
      <w:r w:rsidR="007117CC" w:rsidRPr="00584BB5">
        <w:rPr>
          <w:rFonts w:cs="Arial"/>
          <w:lang w:val="en-GB"/>
        </w:rPr>
        <w:t xml:space="preserve"> </w:t>
      </w:r>
      <w:r w:rsidR="007117CC" w:rsidRPr="00584BB5">
        <w:rPr>
          <w:lang w:val="en-GB"/>
        </w:rPr>
        <w:t xml:space="preserve">in terms of size, population density, connectivity and </w:t>
      </w:r>
      <w:r w:rsidR="007117CC" w:rsidRPr="00584BB5">
        <w:rPr>
          <w:rFonts w:cs="Arial"/>
        </w:rPr>
        <w:t>distance to mainland</w:t>
      </w:r>
      <w:r w:rsidRPr="00584BB5">
        <w:rPr>
          <w:rFonts w:cs="Arial"/>
          <w:lang w:val="en-GB"/>
        </w:rPr>
        <w:t xml:space="preserve">, </w:t>
      </w:r>
      <w:r w:rsidRPr="00584BB5">
        <w:rPr>
          <w:lang w:val="en-GB"/>
        </w:rPr>
        <w:t>i</w:t>
      </w:r>
      <w:r w:rsidRPr="003D7022">
        <w:t xml:space="preserve">t is widely recognised that islands face </w:t>
      </w:r>
      <w:r w:rsidRPr="00584BB5">
        <w:rPr>
          <w:lang w:val="en-GB"/>
        </w:rPr>
        <w:t xml:space="preserve">multiple </w:t>
      </w:r>
      <w:r w:rsidR="006B2C4E" w:rsidRPr="00584BB5">
        <w:rPr>
          <w:lang w:val="en-GB"/>
        </w:rPr>
        <w:t xml:space="preserve">socio-economic development </w:t>
      </w:r>
      <w:r w:rsidRPr="003D7022">
        <w:t>challenges</w:t>
      </w:r>
      <w:r w:rsidRPr="00584BB5">
        <w:rPr>
          <w:lang w:val="en-GB"/>
        </w:rPr>
        <w:t xml:space="preserve"> </w:t>
      </w:r>
      <w:r w:rsidR="007117CC" w:rsidRPr="00584BB5">
        <w:rPr>
          <w:lang w:val="en-GB"/>
        </w:rPr>
        <w:t>that are well-</w:t>
      </w:r>
      <w:r w:rsidRPr="00584BB5">
        <w:rPr>
          <w:lang w:val="en-GB"/>
        </w:rPr>
        <w:t>documented</w:t>
      </w:r>
      <w:r w:rsidR="008A6AA4" w:rsidRPr="00584BB5">
        <w:rPr>
          <w:lang w:val="en-GB"/>
        </w:rPr>
        <w:t>.</w:t>
      </w:r>
      <w:r w:rsidR="007117CC" w:rsidRPr="00584BB5">
        <w:rPr>
          <w:lang w:val="en-GB"/>
        </w:rPr>
        <w:t xml:space="preserve"> It is however also true that islands as a distinct territorial specificity have a key role to play towards the development of the European Union </w:t>
      </w:r>
      <w:r w:rsidR="00BB68B6">
        <w:rPr>
          <w:lang w:val="en-GB"/>
        </w:rPr>
        <w:t>and the Single Market</w:t>
      </w:r>
      <w:r w:rsidR="002F54A4">
        <w:rPr>
          <w:rStyle w:val="FootnoteReference"/>
          <w:lang w:val="en-GB"/>
        </w:rPr>
        <w:footnoteReference w:id="3"/>
      </w:r>
      <w:r w:rsidR="007117CC" w:rsidRPr="00584BB5">
        <w:rPr>
          <w:lang w:val="en-GB"/>
        </w:rPr>
        <w:t>.</w:t>
      </w:r>
    </w:p>
    <w:p w14:paraId="08EA241C" w14:textId="7D0D59D6" w:rsidR="005002ED" w:rsidRDefault="006D6AFF" w:rsidP="006F5716">
      <w:pPr>
        <w:spacing w:before="240"/>
        <w:jc w:val="both"/>
        <w:rPr>
          <w:lang w:val="en-GB"/>
        </w:rPr>
      </w:pPr>
      <w:r w:rsidRPr="00584BB5">
        <w:rPr>
          <w:lang w:val="en-GB"/>
        </w:rPr>
        <w:t xml:space="preserve">The </w:t>
      </w:r>
      <w:r w:rsidR="005002ED" w:rsidRPr="00584BB5">
        <w:rPr>
          <w:lang w:val="en-GB"/>
        </w:rPr>
        <w:t>generally recognised</w:t>
      </w:r>
      <w:r w:rsidR="005002ED">
        <w:rPr>
          <w:lang w:val="en-GB"/>
        </w:rPr>
        <w:t xml:space="preserve"> </w:t>
      </w:r>
      <w:r w:rsidR="003D7022" w:rsidRPr="00584BB5">
        <w:rPr>
          <w:lang w:val="en-GB"/>
        </w:rPr>
        <w:t xml:space="preserve">disadvantages </w:t>
      </w:r>
      <w:r w:rsidRPr="00584BB5">
        <w:rPr>
          <w:lang w:val="en-GB"/>
        </w:rPr>
        <w:t xml:space="preserve">faced by islands </w:t>
      </w:r>
      <w:r w:rsidR="000E09F2" w:rsidRPr="00584BB5">
        <w:rPr>
          <w:lang w:val="en-GB"/>
        </w:rPr>
        <w:t>include</w:t>
      </w:r>
      <w:r w:rsidRPr="00584BB5">
        <w:rPr>
          <w:lang w:val="en-GB"/>
        </w:rPr>
        <w:t xml:space="preserve"> the </w:t>
      </w:r>
      <w:r w:rsidR="003D7022" w:rsidRPr="00584BB5">
        <w:rPr>
          <w:lang w:val="en-GB"/>
        </w:rPr>
        <w:t xml:space="preserve">lack of </w:t>
      </w:r>
      <w:r w:rsidR="003169A7" w:rsidRPr="00584BB5">
        <w:rPr>
          <w:lang w:val="en-GB"/>
        </w:rPr>
        <w:t xml:space="preserve">suitable access to </w:t>
      </w:r>
      <w:r w:rsidR="003D7022" w:rsidRPr="00584BB5">
        <w:rPr>
          <w:lang w:val="en-GB"/>
        </w:rPr>
        <w:t>critical mass</w:t>
      </w:r>
      <w:r w:rsidR="006B2C4E" w:rsidRPr="00584BB5">
        <w:rPr>
          <w:lang w:val="en-GB"/>
        </w:rPr>
        <w:t>es</w:t>
      </w:r>
      <w:r w:rsidR="003D7022" w:rsidRPr="00584BB5">
        <w:rPr>
          <w:lang w:val="en-GB"/>
        </w:rPr>
        <w:t xml:space="preserve"> </w:t>
      </w:r>
      <w:r w:rsidR="006B2C4E" w:rsidRPr="00584BB5">
        <w:rPr>
          <w:lang w:val="en-GB"/>
        </w:rPr>
        <w:t xml:space="preserve">of </w:t>
      </w:r>
      <w:r w:rsidR="003D7022" w:rsidRPr="00584BB5">
        <w:rPr>
          <w:lang w:val="en-GB"/>
        </w:rPr>
        <w:t>resource inputs and consumer base</w:t>
      </w:r>
      <w:r w:rsidR="006B2C4E" w:rsidRPr="00584BB5">
        <w:rPr>
          <w:lang w:val="en-GB"/>
        </w:rPr>
        <w:t>s</w:t>
      </w:r>
      <w:r w:rsidRPr="00584BB5">
        <w:rPr>
          <w:lang w:val="en-GB"/>
        </w:rPr>
        <w:t xml:space="preserve"> which limit</w:t>
      </w:r>
      <w:r w:rsidR="003169A7" w:rsidRPr="00584BB5">
        <w:rPr>
          <w:lang w:val="en-GB"/>
        </w:rPr>
        <w:t>s</w:t>
      </w:r>
      <w:r w:rsidR="003D7022" w:rsidRPr="00385AAF">
        <w:t xml:space="preserve"> the capacity of </w:t>
      </w:r>
      <w:r w:rsidRPr="00584BB5">
        <w:rPr>
          <w:lang w:val="en-GB"/>
        </w:rPr>
        <w:t>business</w:t>
      </w:r>
      <w:r w:rsidR="005002ED">
        <w:rPr>
          <w:lang w:val="en-GB"/>
        </w:rPr>
        <w:t>es</w:t>
      </w:r>
      <w:r w:rsidRPr="00584BB5">
        <w:rPr>
          <w:lang w:val="en-GB"/>
        </w:rPr>
        <w:t xml:space="preserve"> on </w:t>
      </w:r>
      <w:r w:rsidR="003D7022" w:rsidRPr="00385AAF">
        <w:t>island</w:t>
      </w:r>
      <w:r w:rsidR="000E09F2" w:rsidRPr="00584BB5">
        <w:rPr>
          <w:lang w:val="en-GB"/>
        </w:rPr>
        <w:t>s</w:t>
      </w:r>
      <w:r w:rsidR="003D7022" w:rsidRPr="00385AAF">
        <w:t xml:space="preserve"> to exploit economies of scale, </w:t>
      </w:r>
      <w:r w:rsidR="00BB68B6">
        <w:rPr>
          <w:lang w:val="en-GB"/>
        </w:rPr>
        <w:t xml:space="preserve">of </w:t>
      </w:r>
      <w:r w:rsidR="003D7022" w:rsidRPr="00385AAF">
        <w:t xml:space="preserve">scope and </w:t>
      </w:r>
      <w:r w:rsidR="00BB68B6">
        <w:rPr>
          <w:lang w:val="en-GB"/>
        </w:rPr>
        <w:t xml:space="preserve">of </w:t>
      </w:r>
      <w:r w:rsidR="003D7022" w:rsidRPr="00385AAF">
        <w:t>diversification</w:t>
      </w:r>
      <w:r w:rsidR="005002ED">
        <w:rPr>
          <w:lang w:val="en-GB"/>
        </w:rPr>
        <w:t xml:space="preserve"> (ESPON, 2019)</w:t>
      </w:r>
      <w:r w:rsidRPr="00584BB5">
        <w:rPr>
          <w:lang w:val="en-GB"/>
        </w:rPr>
        <w:t>. This</w:t>
      </w:r>
      <w:r w:rsidRPr="00385AAF">
        <w:t xml:space="preserve"> curtail</w:t>
      </w:r>
      <w:r w:rsidRPr="00584BB5">
        <w:rPr>
          <w:lang w:val="en-GB"/>
        </w:rPr>
        <w:t>s the</w:t>
      </w:r>
      <w:r w:rsidRPr="00385AAF">
        <w:t xml:space="preserve"> </w:t>
      </w:r>
      <w:r w:rsidR="003D7022" w:rsidRPr="00385AAF">
        <w:t>potential opportunities offered by the European Single Market</w:t>
      </w:r>
      <w:r w:rsidRPr="00584BB5">
        <w:rPr>
          <w:lang w:val="en-GB"/>
        </w:rPr>
        <w:t xml:space="preserve"> for businesses of all sizes</w:t>
      </w:r>
      <w:r w:rsidR="00BB68B6">
        <w:rPr>
          <w:lang w:val="en-GB"/>
        </w:rPr>
        <w:t xml:space="preserve"> based on islands</w:t>
      </w:r>
      <w:r w:rsidR="003D7022" w:rsidRPr="00385AAF">
        <w:t xml:space="preserve">. </w:t>
      </w:r>
      <w:r w:rsidR="00BB68B6">
        <w:rPr>
          <w:lang w:val="en-GB"/>
        </w:rPr>
        <w:t xml:space="preserve">It is also true that the effects of shocks on business in islands are </w:t>
      </w:r>
      <w:r w:rsidR="000E09F2" w:rsidRPr="00584BB5">
        <w:rPr>
          <w:lang w:val="en-GB"/>
        </w:rPr>
        <w:t>propagated by the</w:t>
      </w:r>
      <w:r w:rsidR="00BB68B6">
        <w:rPr>
          <w:lang w:val="en-GB"/>
        </w:rPr>
        <w:t>ir</w:t>
      </w:r>
      <w:r w:rsidR="000E09F2" w:rsidRPr="00584BB5">
        <w:rPr>
          <w:lang w:val="en-GB"/>
        </w:rPr>
        <w:t xml:space="preserve"> detachment and peripherality from centres of economic activity and governance.</w:t>
      </w:r>
    </w:p>
    <w:p w14:paraId="41EA105C" w14:textId="219A5E4B" w:rsidR="005002ED" w:rsidRPr="00584BB5" w:rsidRDefault="000E09F2" w:rsidP="006F5716">
      <w:pPr>
        <w:spacing w:before="240"/>
        <w:jc w:val="both"/>
        <w:rPr>
          <w:lang w:val="en-GB"/>
        </w:rPr>
      </w:pPr>
      <w:r w:rsidRPr="00584BB5">
        <w:rPr>
          <w:lang w:val="en-GB"/>
        </w:rPr>
        <w:t xml:space="preserve">These </w:t>
      </w:r>
      <w:r w:rsidR="003169A7" w:rsidRPr="00584BB5">
        <w:rPr>
          <w:lang w:val="en-GB"/>
        </w:rPr>
        <w:t>realities</w:t>
      </w:r>
      <w:r w:rsidRPr="00584BB5">
        <w:rPr>
          <w:lang w:val="en-GB"/>
        </w:rPr>
        <w:t xml:space="preserve"> have tended to be at least superficially recognised in </w:t>
      </w:r>
      <w:r w:rsidR="00BB68B6">
        <w:rPr>
          <w:lang w:val="en-GB"/>
        </w:rPr>
        <w:t xml:space="preserve">EU </w:t>
      </w:r>
      <w:r w:rsidRPr="00584BB5">
        <w:rPr>
          <w:lang w:val="en-GB"/>
        </w:rPr>
        <w:t>national and supranational policy frameworks</w:t>
      </w:r>
      <w:r w:rsidR="00B16EA5" w:rsidRPr="00584BB5">
        <w:rPr>
          <w:lang w:val="en-GB"/>
        </w:rPr>
        <w:t>, reflected in</w:t>
      </w:r>
      <w:r w:rsidR="003169A7" w:rsidRPr="00584BB5">
        <w:rPr>
          <w:lang w:val="en-GB"/>
        </w:rPr>
        <w:t xml:space="preserve"> some</w:t>
      </w:r>
      <w:r w:rsidR="00B16EA5" w:rsidRPr="00584BB5">
        <w:rPr>
          <w:lang w:val="en-GB"/>
        </w:rPr>
        <w:t xml:space="preserve"> special considerations being made for island territories. The constraints faced by islands however result in a number of other specific problems </w:t>
      </w:r>
      <w:r w:rsidR="003169A7" w:rsidRPr="00584BB5">
        <w:rPr>
          <w:lang w:val="en-GB"/>
        </w:rPr>
        <w:t xml:space="preserve">for business on islands which deserve deeper </w:t>
      </w:r>
      <w:r w:rsidR="00BB68B6">
        <w:rPr>
          <w:lang w:val="en-GB"/>
        </w:rPr>
        <w:t xml:space="preserve">consideration to be </w:t>
      </w:r>
      <w:r w:rsidR="003169A7" w:rsidRPr="00584BB5">
        <w:rPr>
          <w:lang w:val="en-GB"/>
        </w:rPr>
        <w:t>followed by concrete and urgent action.</w:t>
      </w:r>
    </w:p>
    <w:p w14:paraId="2C2C3D00" w14:textId="49332040" w:rsidR="003D32B3" w:rsidRPr="00584BB5" w:rsidRDefault="00E6005B" w:rsidP="006F5716">
      <w:pPr>
        <w:spacing w:before="240"/>
        <w:jc w:val="both"/>
        <w:rPr>
          <w:lang w:val="en-GB"/>
        </w:rPr>
      </w:pPr>
      <w:r>
        <w:rPr>
          <w:lang w:val="en-GB"/>
        </w:rPr>
        <w:t>One such major problem is that business on i</w:t>
      </w:r>
      <w:r w:rsidR="000864B3" w:rsidRPr="00584BB5">
        <w:rPr>
          <w:lang w:val="en-GB"/>
        </w:rPr>
        <w:t xml:space="preserve">slands tend to be </w:t>
      </w:r>
      <w:r w:rsidR="003169A7" w:rsidRPr="00584BB5">
        <w:rPr>
          <w:lang w:val="en-GB"/>
        </w:rPr>
        <w:t xml:space="preserve">excessively </w:t>
      </w:r>
      <w:r w:rsidR="000864B3" w:rsidRPr="00584BB5">
        <w:rPr>
          <w:lang w:val="en-GB"/>
        </w:rPr>
        <w:t>dependent on niche market specialization and struggle to develop new niches</w:t>
      </w:r>
      <w:r w:rsidR="00051B12">
        <w:rPr>
          <w:lang w:val="en-GB"/>
        </w:rPr>
        <w:t xml:space="preserve"> </w:t>
      </w:r>
      <w:r w:rsidR="0064277B">
        <w:rPr>
          <w:lang w:val="en-GB"/>
        </w:rPr>
        <w:t>(</w:t>
      </w:r>
      <w:r w:rsidR="0064277B" w:rsidRPr="00242B28">
        <w:rPr>
          <w:lang w:val="en-GB"/>
        </w:rPr>
        <w:t>Camilleri, M., Formosa, S., Galea, R., &amp; Moncada, S. (2009)</w:t>
      </w:r>
      <w:r w:rsidR="000864B3" w:rsidRPr="00584BB5">
        <w:rPr>
          <w:lang w:val="en-GB"/>
        </w:rPr>
        <w:t>.</w:t>
      </w:r>
      <w:r w:rsidR="003169A7" w:rsidRPr="00584BB5">
        <w:rPr>
          <w:lang w:val="en-GB"/>
        </w:rPr>
        <w:t xml:space="preserve"> They would therefore benefit from more holistic approaches to </w:t>
      </w:r>
      <w:r w:rsidR="003D32B3" w:rsidRPr="00584BB5">
        <w:rPr>
          <w:lang w:val="en-GB"/>
        </w:rPr>
        <w:t xml:space="preserve">business formation and especially business growth, which would better exploit the ability of economic </w:t>
      </w:r>
      <w:r>
        <w:rPr>
          <w:lang w:val="en-GB"/>
        </w:rPr>
        <w:t>actors</w:t>
      </w:r>
      <w:r w:rsidR="003D32B3" w:rsidRPr="00584BB5">
        <w:rPr>
          <w:lang w:val="en-GB"/>
        </w:rPr>
        <w:t xml:space="preserve"> in islands to network and their inherent need and capability to address multiple problems and opportunities with a small number of concerted actions.  </w:t>
      </w:r>
    </w:p>
    <w:p w14:paraId="54A640C9" w14:textId="690F1C01" w:rsidR="00FE5D45" w:rsidRPr="006F5716" w:rsidRDefault="00E6005B" w:rsidP="006F5716">
      <w:pPr>
        <w:spacing w:before="240"/>
        <w:jc w:val="both"/>
        <w:rPr>
          <w:rFonts w:cs="Arial"/>
        </w:rPr>
      </w:pPr>
      <w:r>
        <w:rPr>
          <w:rFonts w:cs="Arial"/>
          <w:lang w:val="en-GB"/>
        </w:rPr>
        <w:t>Business on islands tends to be disproportionately curtailed by shortages of human capital. I</w:t>
      </w:r>
      <w:r w:rsidR="006E5929" w:rsidRPr="00584BB5">
        <w:rPr>
          <w:rFonts w:cs="Arial"/>
        </w:rPr>
        <w:t xml:space="preserve">slands </w:t>
      </w:r>
      <w:r w:rsidR="006B2C4E" w:rsidRPr="00584BB5">
        <w:rPr>
          <w:rFonts w:cs="Arial"/>
          <w:lang w:val="en-GB"/>
        </w:rPr>
        <w:t xml:space="preserve">tend to </w:t>
      </w:r>
      <w:r>
        <w:rPr>
          <w:rFonts w:cs="Arial"/>
          <w:lang w:val="en-GB"/>
        </w:rPr>
        <w:t>be characterised by</w:t>
      </w:r>
      <w:r w:rsidR="006E5929" w:rsidRPr="00584BB5">
        <w:rPr>
          <w:rFonts w:cs="Arial"/>
        </w:rPr>
        <w:t xml:space="preserve"> low fertility rates</w:t>
      </w:r>
      <w:r w:rsidR="005A4504">
        <w:rPr>
          <w:rFonts w:cs="Arial"/>
          <w:lang w:val="en-GB"/>
        </w:rPr>
        <w:t xml:space="preserve"> (ESPON, 2013)</w:t>
      </w:r>
      <w:r w:rsidR="005002ED">
        <w:rPr>
          <w:rFonts w:cs="Arial"/>
          <w:lang w:val="en-GB"/>
        </w:rPr>
        <w:t xml:space="preserve">. </w:t>
      </w:r>
      <w:r w:rsidR="005002ED" w:rsidRPr="00584BB5">
        <w:rPr>
          <w:rFonts w:cs="Arial"/>
          <w:lang w:val="en-GB"/>
        </w:rPr>
        <w:t xml:space="preserve">Another problem </w:t>
      </w:r>
      <w:r w:rsidR="00DA709F">
        <w:rPr>
          <w:rFonts w:cs="Arial"/>
          <w:lang w:val="en-GB"/>
        </w:rPr>
        <w:t>arises from</w:t>
      </w:r>
      <w:r w:rsidR="005002ED" w:rsidRPr="00584BB5">
        <w:rPr>
          <w:rFonts w:cs="Arial"/>
          <w:lang w:val="en-GB"/>
        </w:rPr>
        <w:t xml:space="preserve"> the</w:t>
      </w:r>
      <w:r w:rsidR="006E5929" w:rsidRPr="00584BB5">
        <w:rPr>
          <w:rFonts w:cs="Arial"/>
          <w:lang w:val="en-GB"/>
        </w:rPr>
        <w:t xml:space="preserve"> lower rate</w:t>
      </w:r>
      <w:r w:rsidR="005002ED" w:rsidRPr="00584BB5">
        <w:rPr>
          <w:rFonts w:cs="Arial"/>
          <w:lang w:val="en-GB"/>
        </w:rPr>
        <w:t xml:space="preserve"> </w:t>
      </w:r>
      <w:r w:rsidR="006E5929" w:rsidRPr="00584BB5">
        <w:rPr>
          <w:rFonts w:cs="Arial"/>
          <w:lang w:val="en-GB"/>
        </w:rPr>
        <w:t>of educational attainment</w:t>
      </w:r>
      <w:r w:rsidR="00AA61A5">
        <w:rPr>
          <w:rFonts w:cs="Arial"/>
          <w:lang w:val="en-GB"/>
        </w:rPr>
        <w:t xml:space="preserve"> of populations living on islands</w:t>
      </w:r>
      <w:r w:rsidR="00F62167">
        <w:rPr>
          <w:rFonts w:cs="Arial"/>
          <w:lang w:val="en-GB"/>
        </w:rPr>
        <w:t xml:space="preserve"> In particular,</w:t>
      </w:r>
      <w:r w:rsidR="00EE7ADB" w:rsidRPr="00EE7ADB">
        <w:rPr>
          <w:rFonts w:cs="Arial"/>
          <w:lang w:val="en-GB"/>
        </w:rPr>
        <w:t xml:space="preserve"> Mediterranean </w:t>
      </w:r>
      <w:r w:rsidR="00F62167">
        <w:rPr>
          <w:rFonts w:cs="Arial"/>
          <w:lang w:val="en-GB"/>
        </w:rPr>
        <w:t xml:space="preserve">islands have a low education attainment level, </w:t>
      </w:r>
      <w:r w:rsidR="00EE7ADB" w:rsidRPr="00EE7ADB">
        <w:rPr>
          <w:rFonts w:cs="Arial"/>
          <w:lang w:val="en-GB"/>
        </w:rPr>
        <w:t>even for islands with high GDP per capita and presence of a University</w:t>
      </w:r>
      <w:r w:rsidR="005A4504">
        <w:rPr>
          <w:rFonts w:cs="Arial"/>
          <w:lang w:val="en-GB"/>
        </w:rPr>
        <w:t xml:space="preserve"> (ESPON, 2013)</w:t>
      </w:r>
      <w:r w:rsidR="005002ED" w:rsidRPr="00584BB5">
        <w:rPr>
          <w:rFonts w:cs="Arial"/>
          <w:lang w:val="en-GB"/>
        </w:rPr>
        <w:t xml:space="preserve">. </w:t>
      </w:r>
    </w:p>
    <w:p w14:paraId="4A5BC40D" w14:textId="5899AC5D" w:rsidR="004E2C10" w:rsidRDefault="00FE5D45" w:rsidP="006F5716">
      <w:pPr>
        <w:spacing w:before="240"/>
        <w:jc w:val="both"/>
        <w:rPr>
          <w:rFonts w:cs="Arial"/>
          <w:lang w:val="en-GB"/>
        </w:rPr>
      </w:pPr>
      <w:r w:rsidRPr="00584BB5">
        <w:rPr>
          <w:rFonts w:cs="Arial"/>
          <w:lang w:val="en-GB"/>
        </w:rPr>
        <w:t xml:space="preserve">Island regions </w:t>
      </w:r>
      <w:r w:rsidR="007F7E1E">
        <w:rPr>
          <w:rFonts w:cs="Arial"/>
          <w:lang w:val="en-GB"/>
        </w:rPr>
        <w:t xml:space="preserve">also </w:t>
      </w:r>
      <w:r w:rsidRPr="00584BB5">
        <w:rPr>
          <w:rFonts w:cs="Arial"/>
          <w:lang w:val="en-GB"/>
        </w:rPr>
        <w:t xml:space="preserve">tend to </w:t>
      </w:r>
      <w:r w:rsidR="00AA61A5">
        <w:rPr>
          <w:rFonts w:cs="Arial"/>
          <w:lang w:val="en-GB"/>
        </w:rPr>
        <w:t xml:space="preserve">have fewer resources and capabilities to devote to </w:t>
      </w:r>
      <w:r w:rsidRPr="00584BB5">
        <w:rPr>
          <w:rFonts w:cs="Arial"/>
          <w:lang w:val="en-GB"/>
        </w:rPr>
        <w:t>R&amp;D</w:t>
      </w:r>
      <w:r w:rsidR="00AA61A5">
        <w:rPr>
          <w:rFonts w:cs="Arial"/>
          <w:lang w:val="en-GB"/>
        </w:rPr>
        <w:t xml:space="preserve"> activity</w:t>
      </w:r>
      <w:r w:rsidR="00DA709F">
        <w:rPr>
          <w:rFonts w:cs="Arial"/>
          <w:lang w:val="en-GB"/>
        </w:rPr>
        <w:t>, with obvious consequences for business performance</w:t>
      </w:r>
      <w:r w:rsidR="00EE7ADB">
        <w:rPr>
          <w:rFonts w:cs="Arial"/>
          <w:lang w:val="en-GB"/>
        </w:rPr>
        <w:t>. T</w:t>
      </w:r>
      <w:r w:rsidR="00EE7ADB" w:rsidRPr="00EE7ADB">
        <w:rPr>
          <w:rFonts w:cs="Arial"/>
          <w:lang w:val="en-GB"/>
        </w:rPr>
        <w:t xml:space="preserve">he indicators for Mediterranean islands are even worse than </w:t>
      </w:r>
      <w:r w:rsidR="00EE7ADB">
        <w:rPr>
          <w:rFonts w:cs="Arial"/>
          <w:lang w:val="en-GB"/>
        </w:rPr>
        <w:t xml:space="preserve">those of the EU average </w:t>
      </w:r>
      <w:r w:rsidR="005A4504">
        <w:rPr>
          <w:rFonts w:cs="Arial"/>
          <w:lang w:val="en-GB"/>
        </w:rPr>
        <w:t>(ESPON, 2013)</w:t>
      </w:r>
      <w:r w:rsidRPr="00584BB5">
        <w:rPr>
          <w:rFonts w:cs="Arial"/>
          <w:lang w:val="en-GB"/>
        </w:rPr>
        <w:t xml:space="preserve">. </w:t>
      </w:r>
    </w:p>
    <w:p w14:paraId="3586DD4E" w14:textId="1CE822C2" w:rsidR="00DA709F" w:rsidRDefault="007F7E1E" w:rsidP="006F5716">
      <w:pPr>
        <w:spacing w:before="240"/>
        <w:jc w:val="both"/>
        <w:rPr>
          <w:rFonts w:cs="Arial"/>
          <w:lang w:val="en-GB"/>
        </w:rPr>
      </w:pPr>
      <w:r w:rsidRPr="006F5716">
        <w:rPr>
          <w:rFonts w:cs="Arial"/>
          <w:lang w:val="en-GB"/>
        </w:rPr>
        <w:t>L</w:t>
      </w:r>
      <w:r w:rsidR="005002ED" w:rsidRPr="00584BB5">
        <w:rPr>
          <w:rFonts w:cs="Arial"/>
          <w:lang w:val="en-GB"/>
        </w:rPr>
        <w:t>and-resource</w:t>
      </w:r>
      <w:r>
        <w:rPr>
          <w:rFonts w:cs="Arial"/>
          <w:lang w:val="en-GB"/>
        </w:rPr>
        <w:t>s</w:t>
      </w:r>
      <w:r w:rsidR="005002ED" w:rsidRPr="00584BB5">
        <w:rPr>
          <w:rFonts w:cs="Arial"/>
          <w:lang w:val="en-GB"/>
        </w:rPr>
        <w:t xml:space="preserve"> </w:t>
      </w:r>
      <w:r w:rsidRPr="006F5716">
        <w:rPr>
          <w:rFonts w:cs="Arial"/>
          <w:lang w:val="en-GB"/>
        </w:rPr>
        <w:t xml:space="preserve">are </w:t>
      </w:r>
      <w:r w:rsidR="005002ED" w:rsidRPr="00584BB5">
        <w:rPr>
          <w:rFonts w:cs="Arial"/>
          <w:lang w:val="en-GB"/>
        </w:rPr>
        <w:t xml:space="preserve">constrained </w:t>
      </w:r>
      <w:r w:rsidRPr="006F5716">
        <w:rPr>
          <w:rFonts w:cs="Arial"/>
          <w:lang w:val="en-GB"/>
        </w:rPr>
        <w:t xml:space="preserve">on islands </w:t>
      </w:r>
      <w:r>
        <w:rPr>
          <w:rFonts w:cs="Arial"/>
          <w:lang w:val="en-GB"/>
        </w:rPr>
        <w:t xml:space="preserve">in comparison to other EU member states. </w:t>
      </w:r>
      <w:r w:rsidR="00DA709F">
        <w:rPr>
          <w:rFonts w:cs="Arial"/>
          <w:lang w:val="en-GB"/>
        </w:rPr>
        <w:t xml:space="preserve">This gives rise to constraints and environmental conflicts </w:t>
      </w:r>
      <w:r>
        <w:rPr>
          <w:rFonts w:cs="Arial"/>
          <w:lang w:val="en-GB"/>
        </w:rPr>
        <w:t>with</w:t>
      </w:r>
      <w:r w:rsidR="00DA709F">
        <w:rPr>
          <w:rFonts w:cs="Arial"/>
          <w:lang w:val="en-GB"/>
        </w:rPr>
        <w:t xml:space="preserve"> </w:t>
      </w:r>
      <w:r>
        <w:rPr>
          <w:rFonts w:cs="Arial"/>
          <w:lang w:val="en-GB"/>
        </w:rPr>
        <w:t>respect to l</w:t>
      </w:r>
      <w:r w:rsidR="005002ED" w:rsidRPr="00584BB5">
        <w:rPr>
          <w:rFonts w:cs="Arial"/>
          <w:lang w:val="en-GB"/>
        </w:rPr>
        <w:t>iving space, infrastructur</w:t>
      </w:r>
      <w:r w:rsidR="00DA709F">
        <w:rPr>
          <w:rFonts w:cs="Arial"/>
          <w:lang w:val="en-GB"/>
        </w:rPr>
        <w:t>al facilities</w:t>
      </w:r>
      <w:r w:rsidR="005002ED" w:rsidRPr="00584BB5">
        <w:rPr>
          <w:rFonts w:cs="Arial"/>
          <w:lang w:val="en-GB"/>
        </w:rPr>
        <w:t>, agricultural production</w:t>
      </w:r>
      <w:r w:rsidR="004E2C10">
        <w:rPr>
          <w:rFonts w:cs="Arial"/>
          <w:lang w:val="en-GB"/>
        </w:rPr>
        <w:t xml:space="preserve"> and </w:t>
      </w:r>
      <w:r w:rsidR="005002ED" w:rsidRPr="00584BB5">
        <w:rPr>
          <w:rFonts w:cs="Arial"/>
          <w:lang w:val="en-GB"/>
        </w:rPr>
        <w:t>industrial development</w:t>
      </w:r>
      <w:r w:rsidR="00EE7ADB">
        <w:rPr>
          <w:rFonts w:cs="Arial"/>
          <w:lang w:val="en-GB"/>
        </w:rPr>
        <w:t xml:space="preserve"> (ESPON, 2013)</w:t>
      </w:r>
      <w:r w:rsidR="004E2C10">
        <w:rPr>
          <w:rFonts w:cs="Arial"/>
          <w:lang w:val="en-GB"/>
        </w:rPr>
        <w:t>.</w:t>
      </w:r>
      <w:r w:rsidR="00DA709F">
        <w:rPr>
          <w:rFonts w:cs="Arial"/>
          <w:lang w:val="en-GB"/>
        </w:rPr>
        <w:t xml:space="preserve"> These issues create obvious problems for business productivity and competitiveness on islands.</w:t>
      </w:r>
      <w:r w:rsidR="004E2C10">
        <w:rPr>
          <w:rFonts w:cs="Arial"/>
          <w:lang w:val="en-GB"/>
        </w:rPr>
        <w:t xml:space="preserve"> </w:t>
      </w:r>
      <w:r w:rsidR="004E2C10" w:rsidRPr="006F5716">
        <w:rPr>
          <w:rFonts w:cs="Arial"/>
          <w:lang w:val="en-GB"/>
        </w:rPr>
        <w:t xml:space="preserve">Often unique for their biodiversity, </w:t>
      </w:r>
      <w:r w:rsidR="004E2C10" w:rsidRPr="006F5716">
        <w:rPr>
          <w:rFonts w:cs="Arial"/>
          <w:lang w:val="en-GB"/>
        </w:rPr>
        <w:lastRenderedPageBreak/>
        <w:t>most European islands have highly fragile habitats which are vulnerable to human pressure. All islands face more or less serious problems concerning sea pollution, desertification,</w:t>
      </w:r>
      <w:r w:rsidR="004E2C10">
        <w:rPr>
          <w:rFonts w:cs="Arial"/>
          <w:lang w:val="en-GB"/>
        </w:rPr>
        <w:t xml:space="preserve"> landscape degradation,</w:t>
      </w:r>
      <w:r w:rsidR="004E2C10" w:rsidRPr="006F5716">
        <w:rPr>
          <w:rFonts w:cs="Arial"/>
          <w:lang w:val="en-GB"/>
        </w:rPr>
        <w:t xml:space="preserve"> water scarcity, lack of waste management facilities</w:t>
      </w:r>
      <w:r w:rsidR="004E2C10">
        <w:rPr>
          <w:rFonts w:cs="Arial"/>
          <w:lang w:val="en-GB"/>
        </w:rPr>
        <w:t xml:space="preserve"> and fossil fuel dependency (EESC, 2017)</w:t>
      </w:r>
      <w:r w:rsidR="004E2C10" w:rsidRPr="006F5716">
        <w:rPr>
          <w:rFonts w:cs="Arial"/>
          <w:lang w:val="en-GB"/>
        </w:rPr>
        <w:t>.</w:t>
      </w:r>
      <w:r w:rsidR="004E2C10">
        <w:rPr>
          <w:rFonts w:cs="Arial"/>
          <w:lang w:val="en-GB"/>
        </w:rPr>
        <w:t xml:space="preserve"> </w:t>
      </w:r>
      <w:r w:rsidR="00DA709F">
        <w:rPr>
          <w:rFonts w:cs="Arial"/>
          <w:lang w:val="en-GB"/>
        </w:rPr>
        <w:t>This tends to constrain business growth, especially if this would exacerbate the effects of environmental fragility.</w:t>
      </w:r>
    </w:p>
    <w:p w14:paraId="268E5173" w14:textId="1758CF52" w:rsidR="005002ED" w:rsidRPr="00DA709F" w:rsidRDefault="004E2C10" w:rsidP="006F5716">
      <w:pPr>
        <w:spacing w:before="240"/>
        <w:jc w:val="both"/>
        <w:rPr>
          <w:rFonts w:cs="Arial"/>
          <w:lang w:val="en-GB"/>
        </w:rPr>
      </w:pPr>
      <w:r w:rsidRPr="00385AAF">
        <w:t xml:space="preserve">Remoteness from the continent often leads to a situation where islands have isolated and weak energy networks, with </w:t>
      </w:r>
      <w:r>
        <w:t xml:space="preserve">a </w:t>
      </w:r>
      <w:r w:rsidRPr="00385AAF">
        <w:t>low possibility of interconnection. As a result, islands tend to rely to a greater extent on the use of fossil fuels and energy imports</w:t>
      </w:r>
      <w:r w:rsidR="0064277B">
        <w:rPr>
          <w:lang w:val="en-GB"/>
        </w:rPr>
        <w:t xml:space="preserve"> (ESPON Bridges, 2019)</w:t>
      </w:r>
      <w:r w:rsidRPr="00385AAF">
        <w:t>.</w:t>
      </w:r>
      <w:r w:rsidR="00DA709F">
        <w:rPr>
          <w:lang w:val="en-GB"/>
        </w:rPr>
        <w:t xml:space="preserve"> The lack of diversification and security in energy markets, and higher costs, have important impacts on business activity on islands.</w:t>
      </w:r>
    </w:p>
    <w:p w14:paraId="2A89B00C" w14:textId="1A7655D0" w:rsidR="003D7022" w:rsidRPr="004E7A42" w:rsidRDefault="003D7022" w:rsidP="006F5716">
      <w:pPr>
        <w:spacing w:before="240"/>
        <w:jc w:val="both"/>
        <w:rPr>
          <w:lang w:val="en-GB"/>
        </w:rPr>
      </w:pPr>
      <w:r w:rsidRPr="00385AAF">
        <w:t>Remoteness from urban centres give</w:t>
      </w:r>
      <w:r>
        <w:t>s</w:t>
      </w:r>
      <w:r w:rsidRPr="00385AAF">
        <w:t xml:space="preserve"> rise to a high dependence on external transport linkages</w:t>
      </w:r>
      <w:r w:rsidR="0095542F">
        <w:rPr>
          <w:lang w:val="en-GB"/>
        </w:rPr>
        <w:t xml:space="preserve"> (E</w:t>
      </w:r>
      <w:r w:rsidR="00C73F41">
        <w:rPr>
          <w:lang w:val="en-GB"/>
        </w:rPr>
        <w:t>SPON</w:t>
      </w:r>
      <w:r w:rsidR="0095542F">
        <w:rPr>
          <w:lang w:val="en-GB"/>
        </w:rPr>
        <w:t xml:space="preserve"> Bridges, 2019)</w:t>
      </w:r>
      <w:r w:rsidRPr="00385AAF">
        <w:t xml:space="preserve">. The standard of the service provided by sea ferries and other forms of physical connectivity has direct implications on the population levels, </w:t>
      </w:r>
      <w:r w:rsidR="00DA709F">
        <w:rPr>
          <w:lang w:val="en-GB"/>
        </w:rPr>
        <w:t>business competitiveness</w:t>
      </w:r>
      <w:r w:rsidRPr="00385AAF">
        <w:t xml:space="preserve"> and quality of life</w:t>
      </w:r>
      <w:r w:rsidR="00DA709F">
        <w:rPr>
          <w:lang w:val="en-GB"/>
        </w:rPr>
        <w:t xml:space="preserve"> on islands</w:t>
      </w:r>
      <w:r w:rsidRPr="00385AAF">
        <w:t>.</w:t>
      </w:r>
      <w:r w:rsidR="00DA709F">
        <w:rPr>
          <w:lang w:val="en-GB"/>
        </w:rPr>
        <w:t xml:space="preserve"> Remoteness and insufficiencies in transport infrastructures, especially in situations of double insularity, are often at the root challenges related to human capital and higher costs of doing business noted above. Reflecting these considerations</w:t>
      </w:r>
      <w:r w:rsidR="004E7A42">
        <w:rPr>
          <w:lang w:val="en-GB"/>
        </w:rPr>
        <w:t>, the ‘European Parliament resolution on the special situation of islands’</w:t>
      </w:r>
      <w:r w:rsidR="004E7A42">
        <w:rPr>
          <w:rFonts w:ascii="Arial" w:hAnsi="Arial" w:cs="Arial"/>
          <w:color w:val="666666"/>
          <w:sz w:val="18"/>
          <w:szCs w:val="18"/>
        </w:rPr>
        <w:t> </w:t>
      </w:r>
      <w:r w:rsidR="004E7A42" w:rsidRPr="006F5716">
        <w:t xml:space="preserve">dated 2016, </w:t>
      </w:r>
      <w:r w:rsidR="004E7A42">
        <w:rPr>
          <w:lang w:val="en-GB"/>
        </w:rPr>
        <w:t>r</w:t>
      </w:r>
      <w:r w:rsidR="004E7A42" w:rsidRPr="006F5716">
        <w:t>equest</w:t>
      </w:r>
      <w:r w:rsidR="00DA709F">
        <w:rPr>
          <w:lang w:val="en-GB"/>
        </w:rPr>
        <w:t>ed</w:t>
      </w:r>
      <w:r w:rsidR="004E7A42" w:rsidRPr="006F5716">
        <w:t xml:space="preserve"> the Commission </w:t>
      </w:r>
      <w:r w:rsidR="00DA709F">
        <w:rPr>
          <w:lang w:val="en-GB"/>
        </w:rPr>
        <w:t xml:space="preserve">to </w:t>
      </w:r>
      <w:r w:rsidR="004E7A42" w:rsidRPr="006F5716">
        <w:t>launch an in-depth analysis on the extra costs incurred as a result of being islands, in terms of the transport system for people and goods</w:t>
      </w:r>
      <w:r w:rsidR="004E7A42">
        <w:rPr>
          <w:rStyle w:val="FootnoteReference"/>
        </w:rPr>
        <w:footnoteReference w:id="4"/>
      </w:r>
      <w:r w:rsidR="004E7A42">
        <w:rPr>
          <w:lang w:val="en-GB"/>
        </w:rPr>
        <w:t>.</w:t>
      </w:r>
      <w:r w:rsidR="004E7A42" w:rsidRPr="006F5716">
        <w:t xml:space="preserve"> </w:t>
      </w:r>
    </w:p>
    <w:p w14:paraId="765C4D62" w14:textId="6C254385" w:rsidR="004E2C10" w:rsidRPr="00DA709F" w:rsidRDefault="008A6AA4" w:rsidP="006F5716">
      <w:pPr>
        <w:autoSpaceDE w:val="0"/>
        <w:autoSpaceDN w:val="0"/>
        <w:adjustRightInd w:val="0"/>
        <w:spacing w:before="240"/>
        <w:jc w:val="both"/>
        <w:rPr>
          <w:rFonts w:cs="Arial"/>
          <w:lang w:val="en-GB"/>
        </w:rPr>
      </w:pPr>
      <w:r w:rsidRPr="00584BB5">
        <w:rPr>
          <w:rFonts w:cs="Arial"/>
          <w:lang w:val="en-GB"/>
        </w:rPr>
        <w:t xml:space="preserve">Small </w:t>
      </w:r>
      <w:r w:rsidR="006E5929" w:rsidRPr="00584BB5">
        <w:rPr>
          <w:rFonts w:cs="Arial"/>
          <w:lang w:val="en-GB"/>
        </w:rPr>
        <w:t>island</w:t>
      </w:r>
      <w:r w:rsidRPr="00584BB5">
        <w:rPr>
          <w:rFonts w:cs="Arial"/>
          <w:lang w:val="en-GB"/>
        </w:rPr>
        <w:t xml:space="preserve">s are often characterized by </w:t>
      </w:r>
      <w:r w:rsidR="0049042B">
        <w:rPr>
          <w:rFonts w:cs="Arial"/>
          <w:lang w:val="en-GB"/>
        </w:rPr>
        <w:t xml:space="preserve">an over-reliance on central Government (ESPON Bridges, 2019) </w:t>
      </w:r>
      <w:r w:rsidRPr="00584BB5">
        <w:rPr>
          <w:rFonts w:cs="Arial"/>
          <w:lang w:val="en-GB"/>
        </w:rPr>
        <w:t xml:space="preserve">with higher per capita public expenditure levels and elevated levels of bureaucracy, impinging on </w:t>
      </w:r>
      <w:r w:rsidR="00DA709F">
        <w:rPr>
          <w:rFonts w:cs="Arial"/>
          <w:lang w:val="en-GB"/>
        </w:rPr>
        <w:t xml:space="preserve">business </w:t>
      </w:r>
      <w:r w:rsidRPr="00584BB5">
        <w:rPr>
          <w:rFonts w:cs="Arial"/>
          <w:lang w:val="en-GB"/>
        </w:rPr>
        <w:t>competitiv</w:t>
      </w:r>
      <w:r w:rsidR="006E5929" w:rsidRPr="00584BB5">
        <w:rPr>
          <w:rFonts w:cs="Arial"/>
          <w:lang w:val="en-GB"/>
        </w:rPr>
        <w:t>e</w:t>
      </w:r>
      <w:r w:rsidRPr="00584BB5">
        <w:rPr>
          <w:rFonts w:cs="Arial"/>
          <w:lang w:val="en-GB"/>
        </w:rPr>
        <w:t xml:space="preserve">ness. </w:t>
      </w:r>
      <w:r w:rsidR="00DA709F">
        <w:rPr>
          <w:rFonts w:cs="Arial"/>
          <w:lang w:val="en-GB"/>
        </w:rPr>
        <w:t>On one hand, the provision of essential</w:t>
      </w:r>
      <w:r w:rsidR="003D7022" w:rsidRPr="00584BB5">
        <w:rPr>
          <w:rFonts w:cs="Arial"/>
        </w:rPr>
        <w:t xml:space="preserve"> public sector </w:t>
      </w:r>
      <w:r w:rsidR="00DA709F">
        <w:rPr>
          <w:rFonts w:cs="Arial"/>
          <w:lang w:val="en-GB"/>
        </w:rPr>
        <w:t>services on islands tends to be disproportionately high on islands, especially those with a</w:t>
      </w:r>
      <w:r w:rsidR="003D7022" w:rsidRPr="00584BB5">
        <w:rPr>
          <w:rFonts w:cs="Arial"/>
        </w:rPr>
        <w:t xml:space="preserve"> small number of inhabitants</w:t>
      </w:r>
      <w:r w:rsidR="00911FCD">
        <w:rPr>
          <w:rFonts w:cs="Arial"/>
          <w:lang w:val="en-GB"/>
        </w:rPr>
        <w:t xml:space="preserve"> (Briguglio, 1995).</w:t>
      </w:r>
      <w:r w:rsidRPr="00584BB5">
        <w:rPr>
          <w:rFonts w:cs="Arial"/>
          <w:lang w:val="en-GB"/>
        </w:rPr>
        <w:t xml:space="preserve"> </w:t>
      </w:r>
      <w:r w:rsidR="00DA709F">
        <w:rPr>
          <w:rFonts w:cs="Arial"/>
          <w:lang w:val="en-GB"/>
        </w:rPr>
        <w:t>On the other, t</w:t>
      </w:r>
      <w:r w:rsidR="000864B3" w:rsidRPr="00584BB5">
        <w:rPr>
          <w:rFonts w:cs="Arial"/>
          <w:lang w:val="en-GB"/>
        </w:rPr>
        <w:t>he m</w:t>
      </w:r>
      <w:r w:rsidR="000864B3" w:rsidRPr="00584BB5">
        <w:rPr>
          <w:rFonts w:cs="Arial"/>
        </w:rPr>
        <w:t xml:space="preserve">ajority of EU islands find themselves being part of bigger administrative units and lack the </w:t>
      </w:r>
      <w:r w:rsidR="00DA709F">
        <w:rPr>
          <w:rFonts w:cs="Arial"/>
          <w:lang w:val="en-GB"/>
        </w:rPr>
        <w:t xml:space="preserve">necessary powers to provide optimally for the public service needs Both these factors tend to increase the costs of doing business in islands in terms of </w:t>
      </w:r>
      <w:r w:rsidR="00577040">
        <w:rPr>
          <w:rFonts w:cs="Arial"/>
          <w:lang w:val="en-GB"/>
        </w:rPr>
        <w:t>direct outlays as well as the quality of the level of public services available</w:t>
      </w:r>
      <w:r w:rsidR="00051B12">
        <w:rPr>
          <w:rFonts w:cs="Arial"/>
          <w:lang w:val="en-GB"/>
        </w:rPr>
        <w:t xml:space="preserve"> (Cordina, 2008)</w:t>
      </w:r>
      <w:r w:rsidR="00577040">
        <w:rPr>
          <w:rFonts w:cs="Arial"/>
          <w:lang w:val="en-GB"/>
        </w:rPr>
        <w:t>.</w:t>
      </w:r>
    </w:p>
    <w:p w14:paraId="54F82D24" w14:textId="200E94CC" w:rsidR="005002ED" w:rsidRPr="006F5716" w:rsidRDefault="005002ED" w:rsidP="00577040">
      <w:pPr>
        <w:spacing w:before="240"/>
        <w:jc w:val="both"/>
        <w:rPr>
          <w:rFonts w:cs="Arial"/>
          <w:lang w:val="en-GB"/>
        </w:rPr>
      </w:pPr>
      <w:r w:rsidRPr="006F5716">
        <w:rPr>
          <w:rFonts w:cs="Arial"/>
          <w:lang w:val="en-GB"/>
        </w:rPr>
        <w:t xml:space="preserve">Addressing the </w:t>
      </w:r>
      <w:r w:rsidR="00577040">
        <w:rPr>
          <w:rFonts w:cs="Arial"/>
          <w:lang w:val="en-GB"/>
        </w:rPr>
        <w:t xml:space="preserve">special </w:t>
      </w:r>
      <w:r w:rsidRPr="006F5716">
        <w:rPr>
          <w:rFonts w:cs="Arial"/>
          <w:lang w:val="en-GB"/>
        </w:rPr>
        <w:t xml:space="preserve">challenges </w:t>
      </w:r>
      <w:r w:rsidR="00577040">
        <w:rPr>
          <w:rFonts w:cs="Arial"/>
          <w:lang w:val="en-GB"/>
        </w:rPr>
        <w:t xml:space="preserve">facing business </w:t>
      </w:r>
      <w:r w:rsidRPr="006F5716">
        <w:rPr>
          <w:rFonts w:cs="Arial"/>
          <w:lang w:val="en-GB"/>
        </w:rPr>
        <w:t xml:space="preserve">within islands </w:t>
      </w:r>
      <w:r w:rsidR="00577040">
        <w:rPr>
          <w:rFonts w:cs="Arial"/>
          <w:lang w:val="en-GB"/>
        </w:rPr>
        <w:t>requires the mainstreaming of the relevant issues within the overall approach the economic and social policy at various levels</w:t>
      </w:r>
      <w:r w:rsidRPr="006F5716">
        <w:rPr>
          <w:rFonts w:cs="Arial"/>
          <w:lang w:val="en-GB"/>
        </w:rPr>
        <w:t xml:space="preserve">, </w:t>
      </w:r>
      <w:r w:rsidR="00577040">
        <w:rPr>
          <w:rFonts w:cs="Arial"/>
          <w:lang w:val="en-GB"/>
        </w:rPr>
        <w:t>so as to</w:t>
      </w:r>
      <w:r w:rsidRPr="006F5716">
        <w:rPr>
          <w:rFonts w:cs="Arial"/>
          <w:lang w:val="en-GB"/>
        </w:rPr>
        <w:t xml:space="preserve"> ensur</w:t>
      </w:r>
      <w:r w:rsidR="002F54A4">
        <w:rPr>
          <w:rFonts w:cs="Arial"/>
          <w:lang w:val="en-GB"/>
        </w:rPr>
        <w:t>e</w:t>
      </w:r>
      <w:r w:rsidRPr="006F5716">
        <w:rPr>
          <w:rFonts w:cs="Arial"/>
          <w:lang w:val="en-GB"/>
        </w:rPr>
        <w:t xml:space="preserve"> a sustainable development </w:t>
      </w:r>
      <w:r w:rsidR="00577040">
        <w:rPr>
          <w:rFonts w:cs="Arial"/>
          <w:lang w:val="en-GB"/>
        </w:rPr>
        <w:t xml:space="preserve">for island business </w:t>
      </w:r>
      <w:r w:rsidRPr="006F5716">
        <w:rPr>
          <w:rFonts w:cs="Arial"/>
          <w:lang w:val="en-GB"/>
        </w:rPr>
        <w:t xml:space="preserve">based on </w:t>
      </w:r>
      <w:r w:rsidR="00577040">
        <w:rPr>
          <w:rFonts w:cs="Arial"/>
          <w:lang w:val="en-GB"/>
        </w:rPr>
        <w:t xml:space="preserve">their potential </w:t>
      </w:r>
      <w:r w:rsidRPr="006F5716">
        <w:rPr>
          <w:rFonts w:cs="Arial"/>
          <w:lang w:val="en-GB"/>
        </w:rPr>
        <w:t xml:space="preserve">comparative advantage. </w:t>
      </w:r>
      <w:r>
        <w:rPr>
          <w:rFonts w:cs="Arial"/>
          <w:lang w:val="en-GB"/>
        </w:rPr>
        <w:t>P</w:t>
      </w:r>
      <w:r w:rsidRPr="006F5716">
        <w:rPr>
          <w:rFonts w:cs="Arial"/>
          <w:lang w:val="en-GB"/>
        </w:rPr>
        <w:t xml:space="preserve">romoting and exploiting </w:t>
      </w:r>
      <w:r>
        <w:rPr>
          <w:rFonts w:cs="Arial"/>
          <w:lang w:val="en-GB"/>
        </w:rPr>
        <w:t xml:space="preserve">the </w:t>
      </w:r>
      <w:r w:rsidRPr="006F5716">
        <w:rPr>
          <w:rFonts w:cs="Arial"/>
          <w:lang w:val="en-GB"/>
        </w:rPr>
        <w:t>territorial potential</w:t>
      </w:r>
      <w:r>
        <w:rPr>
          <w:rFonts w:cs="Arial"/>
          <w:lang w:val="en-GB"/>
        </w:rPr>
        <w:t xml:space="preserve"> of islands contributes not only to the region itself but also to the nation and the </w:t>
      </w:r>
      <w:r w:rsidRPr="006F5716">
        <w:rPr>
          <w:rFonts w:cs="Arial"/>
          <w:lang w:val="en-GB"/>
        </w:rPr>
        <w:t>European</w:t>
      </w:r>
      <w:r>
        <w:rPr>
          <w:rFonts w:cs="Arial"/>
          <w:lang w:val="en-GB"/>
        </w:rPr>
        <w:t xml:space="preserve"> perspective (ESPON,2013).</w:t>
      </w:r>
      <w:r w:rsidR="00577040">
        <w:rPr>
          <w:rFonts w:cs="Arial"/>
          <w:lang w:val="en-GB"/>
        </w:rPr>
        <w:t xml:space="preserve"> B</w:t>
      </w:r>
      <w:r w:rsidRPr="00584BB5">
        <w:rPr>
          <w:rFonts w:cs="Arial"/>
          <w:lang w:val="en-GB"/>
        </w:rPr>
        <w:t xml:space="preserve">usiness in islands is not only worth saving, but </w:t>
      </w:r>
      <w:r w:rsidR="00577040">
        <w:rPr>
          <w:rFonts w:cs="Arial"/>
          <w:lang w:val="en-GB"/>
        </w:rPr>
        <w:t xml:space="preserve">is above all </w:t>
      </w:r>
      <w:r w:rsidRPr="00584BB5">
        <w:rPr>
          <w:rFonts w:cs="Arial"/>
          <w:lang w:val="en-GB"/>
        </w:rPr>
        <w:t>worth nurturing for the development, diversification and strength of the EU Single Market.</w:t>
      </w:r>
    </w:p>
    <w:p w14:paraId="45127CAC" w14:textId="36FD4FBA" w:rsidR="00F01EF0" w:rsidRDefault="00F01EF0">
      <w:pPr>
        <w:rPr>
          <w:rFonts w:cs="Arial"/>
          <w:b/>
          <w:bCs/>
          <w:lang w:val="en-GB"/>
        </w:rPr>
      </w:pPr>
    </w:p>
    <w:p w14:paraId="6755A062" w14:textId="0F6358C0" w:rsidR="005002ED" w:rsidRPr="006F5716" w:rsidRDefault="007F7E1E" w:rsidP="005002ED">
      <w:pPr>
        <w:autoSpaceDE w:val="0"/>
        <w:autoSpaceDN w:val="0"/>
        <w:adjustRightInd w:val="0"/>
        <w:spacing w:after="0" w:line="240" w:lineRule="auto"/>
        <w:jc w:val="both"/>
        <w:rPr>
          <w:rFonts w:cs="Arial"/>
          <w:b/>
          <w:bCs/>
          <w:sz w:val="24"/>
          <w:szCs w:val="24"/>
          <w:lang w:val="en-GB"/>
        </w:rPr>
      </w:pPr>
      <w:r w:rsidRPr="006F5716">
        <w:rPr>
          <w:rFonts w:cs="Arial"/>
          <w:b/>
          <w:bCs/>
          <w:sz w:val="24"/>
          <w:szCs w:val="24"/>
          <w:lang w:val="en-GB"/>
        </w:rPr>
        <w:t xml:space="preserve">2. </w:t>
      </w:r>
      <w:r w:rsidR="005002ED" w:rsidRPr="006F5716">
        <w:rPr>
          <w:rFonts w:cs="Arial"/>
          <w:b/>
          <w:bCs/>
          <w:sz w:val="24"/>
          <w:szCs w:val="24"/>
          <w:lang w:val="en-GB"/>
        </w:rPr>
        <w:t>T</w:t>
      </w:r>
      <w:r w:rsidR="00704467" w:rsidRPr="006F5716">
        <w:rPr>
          <w:rFonts w:cs="Arial"/>
          <w:b/>
          <w:bCs/>
          <w:sz w:val="24"/>
          <w:szCs w:val="24"/>
          <w:lang w:val="en-GB"/>
        </w:rPr>
        <w:t xml:space="preserve">he need to integrate special mechanisms, identify new policy areas and set up place-based strategies with respect to Islands   </w:t>
      </w:r>
    </w:p>
    <w:p w14:paraId="45225676" w14:textId="77777777" w:rsidR="005002ED" w:rsidRDefault="005002ED" w:rsidP="005002ED">
      <w:pPr>
        <w:autoSpaceDE w:val="0"/>
        <w:autoSpaceDN w:val="0"/>
        <w:adjustRightInd w:val="0"/>
        <w:spacing w:after="0" w:line="240" w:lineRule="auto"/>
        <w:jc w:val="both"/>
        <w:rPr>
          <w:rFonts w:cs="Arial"/>
          <w:b/>
          <w:bCs/>
          <w:lang w:val="en-GB"/>
        </w:rPr>
      </w:pPr>
    </w:p>
    <w:p w14:paraId="428A92F0" w14:textId="5849B540" w:rsidR="005002ED" w:rsidRPr="006F5716" w:rsidRDefault="00B94C91" w:rsidP="006F5716">
      <w:pPr>
        <w:autoSpaceDE w:val="0"/>
        <w:autoSpaceDN w:val="0"/>
        <w:adjustRightInd w:val="0"/>
        <w:jc w:val="both"/>
        <w:rPr>
          <w:rFonts w:cs="Arial"/>
        </w:rPr>
      </w:pPr>
      <w:r w:rsidRPr="006F5716">
        <w:rPr>
          <w:lang w:val="en-GB"/>
        </w:rPr>
        <w:t xml:space="preserve">Various studies suggest that </w:t>
      </w:r>
      <w:r w:rsidR="007513FF">
        <w:rPr>
          <w:lang w:val="en-GB"/>
        </w:rPr>
        <w:t>through</w:t>
      </w:r>
      <w:r w:rsidRPr="006F5716">
        <w:rPr>
          <w:lang w:val="en-GB"/>
        </w:rPr>
        <w:t xml:space="preserve"> </w:t>
      </w:r>
      <w:r w:rsidR="007513FF">
        <w:rPr>
          <w:lang w:val="en-GB"/>
        </w:rPr>
        <w:t xml:space="preserve">fair and proportionate </w:t>
      </w:r>
      <w:r w:rsidRPr="006F5716">
        <w:rPr>
          <w:lang w:val="en-GB"/>
        </w:rPr>
        <w:t>compensatory measures</w:t>
      </w:r>
      <w:r w:rsidR="007513FF">
        <w:rPr>
          <w:lang w:val="en-GB"/>
        </w:rPr>
        <w:t xml:space="preserve"> mainstreamed within policies and measures</w:t>
      </w:r>
      <w:r w:rsidRPr="006F5716">
        <w:rPr>
          <w:lang w:val="en-GB"/>
        </w:rPr>
        <w:t>, islands can become ‘lands of opportunities’</w:t>
      </w:r>
      <w:r w:rsidR="0064277B">
        <w:rPr>
          <w:lang w:val="en-GB"/>
        </w:rPr>
        <w:t xml:space="preserve"> (European Parliament, 2016)</w:t>
      </w:r>
      <w:r w:rsidRPr="006F5716">
        <w:rPr>
          <w:lang w:val="en-GB"/>
        </w:rPr>
        <w:t xml:space="preserve">. </w:t>
      </w:r>
      <w:r w:rsidR="007513FF">
        <w:rPr>
          <w:lang w:val="en-GB"/>
        </w:rPr>
        <w:t xml:space="preserve">These would build upon the </w:t>
      </w:r>
      <w:r w:rsidRPr="006F5716">
        <w:rPr>
          <w:lang w:val="en-GB"/>
        </w:rPr>
        <w:t xml:space="preserve">flexibility </w:t>
      </w:r>
      <w:r w:rsidR="007513FF">
        <w:rPr>
          <w:lang w:val="en-GB"/>
        </w:rPr>
        <w:t xml:space="preserve">of resources and of governance structures in islands, their </w:t>
      </w:r>
      <w:r w:rsidRPr="006F5716">
        <w:rPr>
          <w:lang w:val="en-GB"/>
        </w:rPr>
        <w:t xml:space="preserve">strong </w:t>
      </w:r>
      <w:r w:rsidR="007513FF">
        <w:rPr>
          <w:lang w:val="en-GB"/>
        </w:rPr>
        <w:t xml:space="preserve">social and community </w:t>
      </w:r>
      <w:r w:rsidRPr="006F5716">
        <w:rPr>
          <w:lang w:val="en-GB"/>
        </w:rPr>
        <w:t>ties</w:t>
      </w:r>
      <w:r w:rsidR="007513FF">
        <w:rPr>
          <w:lang w:val="en-GB"/>
        </w:rPr>
        <w:t xml:space="preserve"> and the consequent wider space for</w:t>
      </w:r>
      <w:r w:rsidRPr="006F5716">
        <w:rPr>
          <w:lang w:val="en-GB"/>
        </w:rPr>
        <w:t xml:space="preserve"> networking opportunities.</w:t>
      </w:r>
    </w:p>
    <w:p w14:paraId="12FB933C" w14:textId="5FAD2898" w:rsidR="00DD28FA" w:rsidRPr="006F5716" w:rsidRDefault="00C8744F" w:rsidP="006F5716">
      <w:pPr>
        <w:autoSpaceDE w:val="0"/>
        <w:autoSpaceDN w:val="0"/>
        <w:adjustRightInd w:val="0"/>
        <w:jc w:val="both"/>
        <w:rPr>
          <w:lang w:val="en-GB"/>
        </w:rPr>
      </w:pPr>
      <w:r w:rsidRPr="006F5716">
        <w:rPr>
          <w:lang w:val="en-GB"/>
        </w:rPr>
        <w:t xml:space="preserve">From a policy perspective, the EU recognises the </w:t>
      </w:r>
      <w:r w:rsidR="00351838">
        <w:rPr>
          <w:lang w:val="en-GB"/>
        </w:rPr>
        <w:t xml:space="preserve">specificity of the </w:t>
      </w:r>
      <w:r w:rsidRPr="006F5716">
        <w:rPr>
          <w:lang w:val="en-GB"/>
        </w:rPr>
        <w:t>geographic characteristics of islands</w:t>
      </w:r>
      <w:r w:rsidR="007D226C" w:rsidRPr="006F5716">
        <w:rPr>
          <w:rStyle w:val="FootnoteReference"/>
          <w:sz w:val="22"/>
          <w:lang w:val="en-GB"/>
        </w:rPr>
        <w:footnoteReference w:id="5"/>
      </w:r>
      <w:r w:rsidRPr="006F5716">
        <w:rPr>
          <w:lang w:val="en-GB"/>
        </w:rPr>
        <w:t xml:space="preserve"> particularly in terms of</w:t>
      </w:r>
      <w:r w:rsidR="007D226C" w:rsidRPr="006F5716">
        <w:rPr>
          <w:lang w:val="en-GB"/>
        </w:rPr>
        <w:t xml:space="preserve"> accessibility</w:t>
      </w:r>
      <w:r w:rsidR="007D226C" w:rsidRPr="006F5716">
        <w:rPr>
          <w:rStyle w:val="FootnoteReference"/>
          <w:sz w:val="22"/>
          <w:lang w:val="en-GB"/>
        </w:rPr>
        <w:footnoteReference w:id="6"/>
      </w:r>
      <w:r w:rsidR="007D226C" w:rsidRPr="006F5716">
        <w:rPr>
          <w:lang w:val="en-GB"/>
        </w:rPr>
        <w:t>, Cohesion Policy</w:t>
      </w:r>
      <w:r w:rsidR="007D226C" w:rsidRPr="006F5716">
        <w:rPr>
          <w:rStyle w:val="FootnoteReference"/>
          <w:sz w:val="22"/>
          <w:lang w:val="en-GB"/>
        </w:rPr>
        <w:footnoteReference w:id="7"/>
      </w:r>
      <w:r w:rsidR="007D226C" w:rsidRPr="006F5716">
        <w:rPr>
          <w:lang w:val="en-GB"/>
        </w:rPr>
        <w:t xml:space="preserve"> and Energy Policy</w:t>
      </w:r>
      <w:r w:rsidR="007D226C" w:rsidRPr="006F5716">
        <w:rPr>
          <w:rStyle w:val="FootnoteReference"/>
          <w:sz w:val="22"/>
          <w:lang w:val="en-GB"/>
        </w:rPr>
        <w:footnoteReference w:id="8"/>
      </w:r>
      <w:r w:rsidR="007D226C" w:rsidRPr="006F5716">
        <w:rPr>
          <w:lang w:val="en-GB"/>
        </w:rPr>
        <w:t xml:space="preserve">. </w:t>
      </w:r>
      <w:r w:rsidR="00351838">
        <w:rPr>
          <w:lang w:val="en-GB"/>
        </w:rPr>
        <w:t xml:space="preserve">On the other hand, </w:t>
      </w:r>
      <w:r w:rsidRPr="006F5716">
        <w:rPr>
          <w:lang w:val="en-GB"/>
        </w:rPr>
        <w:t xml:space="preserve">Competition </w:t>
      </w:r>
      <w:r w:rsidR="00351838">
        <w:rPr>
          <w:lang w:val="en-GB"/>
        </w:rPr>
        <w:t>P</w:t>
      </w:r>
      <w:r w:rsidRPr="006F5716">
        <w:rPr>
          <w:lang w:val="en-GB"/>
        </w:rPr>
        <w:t xml:space="preserve">olicy </w:t>
      </w:r>
      <w:r w:rsidR="00351838">
        <w:rPr>
          <w:lang w:val="en-GB"/>
        </w:rPr>
        <w:t xml:space="preserve">recognises a special arrangement with respect to </w:t>
      </w:r>
      <w:r w:rsidR="007D226C" w:rsidRPr="006F5716">
        <w:rPr>
          <w:lang w:val="en-GB"/>
        </w:rPr>
        <w:t>State Aid</w:t>
      </w:r>
      <w:r w:rsidR="007D226C" w:rsidRPr="006F5716">
        <w:rPr>
          <w:rStyle w:val="FootnoteReference"/>
          <w:sz w:val="22"/>
          <w:lang w:val="en-GB"/>
        </w:rPr>
        <w:footnoteReference w:id="9"/>
      </w:r>
      <w:r w:rsidR="007D226C" w:rsidRPr="006F5716">
        <w:rPr>
          <w:lang w:val="en-GB"/>
        </w:rPr>
        <w:t xml:space="preserve"> </w:t>
      </w:r>
      <w:r w:rsidR="00351838">
        <w:rPr>
          <w:lang w:val="en-GB"/>
        </w:rPr>
        <w:t xml:space="preserve">only </w:t>
      </w:r>
      <w:r w:rsidR="007D226C" w:rsidRPr="006F5716">
        <w:rPr>
          <w:lang w:val="en-GB"/>
        </w:rPr>
        <w:t>in relation to less favoured regions</w:t>
      </w:r>
      <w:r w:rsidR="007D226C" w:rsidRPr="006F5716">
        <w:rPr>
          <w:rStyle w:val="FootnoteReference"/>
          <w:sz w:val="22"/>
          <w:lang w:val="en-GB"/>
        </w:rPr>
        <w:footnoteReference w:id="10"/>
      </w:r>
      <w:r w:rsidR="007D226C" w:rsidRPr="006F5716">
        <w:rPr>
          <w:lang w:val="en-GB"/>
        </w:rPr>
        <w:t>, without making a direct or specific refe</w:t>
      </w:r>
      <w:r w:rsidR="0074130A">
        <w:rPr>
          <w:lang w:val="en-GB"/>
        </w:rPr>
        <w:t>re</w:t>
      </w:r>
      <w:r w:rsidR="007D226C" w:rsidRPr="006F5716">
        <w:rPr>
          <w:lang w:val="en-GB"/>
        </w:rPr>
        <w:t>nce to islands</w:t>
      </w:r>
      <w:r w:rsidRPr="006F5716">
        <w:rPr>
          <w:lang w:val="en-GB"/>
        </w:rPr>
        <w:t xml:space="preserve">. </w:t>
      </w:r>
    </w:p>
    <w:p w14:paraId="04FB69AC" w14:textId="6A6F229C" w:rsidR="0093419A" w:rsidRPr="006F5716" w:rsidRDefault="000079FD" w:rsidP="0093419A">
      <w:pPr>
        <w:jc w:val="both"/>
      </w:pPr>
      <w:r>
        <w:rPr>
          <w:lang w:val="en-GB"/>
        </w:rPr>
        <w:t>It is within this context that t</w:t>
      </w:r>
      <w:r w:rsidR="000C62A5" w:rsidRPr="006F5716">
        <w:rPr>
          <w:rFonts w:cs="Arial"/>
          <w:lang w:val="en-GB"/>
        </w:rPr>
        <w:t xml:space="preserve">he January 2016 European Parliament briefing entitled ‘Islands of the EU: Taking account of their specific needs in EU policy’ </w:t>
      </w:r>
      <w:r w:rsidR="000C62A5" w:rsidRPr="006F5716">
        <w:rPr>
          <w:rFonts w:cs="Arial"/>
        </w:rPr>
        <w:t>call</w:t>
      </w:r>
      <w:r w:rsidR="000C62A5" w:rsidRPr="006F5716">
        <w:rPr>
          <w:rFonts w:cs="Arial"/>
          <w:lang w:val="en-GB"/>
        </w:rPr>
        <w:t>s</w:t>
      </w:r>
      <w:r w:rsidR="000C62A5" w:rsidRPr="006F5716">
        <w:rPr>
          <w:rFonts w:cs="Arial"/>
        </w:rPr>
        <w:t xml:space="preserve"> for</w:t>
      </w:r>
      <w:r w:rsidR="000C62A5" w:rsidRPr="006F5716">
        <w:rPr>
          <w:rFonts w:cs="Arial"/>
          <w:lang w:val="en-GB"/>
        </w:rPr>
        <w:t xml:space="preserve"> </w:t>
      </w:r>
      <w:r w:rsidR="000C62A5" w:rsidRPr="006F5716">
        <w:rPr>
          <w:rFonts w:cs="Arial"/>
        </w:rPr>
        <w:t>the development</w:t>
      </w:r>
      <w:r w:rsidR="000C62A5" w:rsidRPr="006F5716">
        <w:rPr>
          <w:rFonts w:cs="Arial"/>
          <w:lang w:val="en-GB"/>
        </w:rPr>
        <w:t xml:space="preserve"> </w:t>
      </w:r>
      <w:r w:rsidR="000C62A5" w:rsidRPr="006F5716">
        <w:rPr>
          <w:rFonts w:cs="Arial"/>
        </w:rPr>
        <w:t>of an</w:t>
      </w:r>
      <w:r w:rsidR="000C62A5" w:rsidRPr="006F5716">
        <w:rPr>
          <w:rFonts w:cs="Arial"/>
          <w:lang w:val="en-GB"/>
        </w:rPr>
        <w:t xml:space="preserve"> </w:t>
      </w:r>
      <w:r w:rsidR="000C62A5" w:rsidRPr="006F5716">
        <w:rPr>
          <w:rFonts w:cs="Arial"/>
        </w:rPr>
        <w:t>'insular</w:t>
      </w:r>
      <w:r w:rsidR="000C62A5" w:rsidRPr="006F5716">
        <w:rPr>
          <w:rFonts w:cs="Arial"/>
          <w:lang w:val="en-GB"/>
        </w:rPr>
        <w:t xml:space="preserve"> </w:t>
      </w:r>
      <w:r w:rsidR="000C62A5" w:rsidRPr="006F5716">
        <w:rPr>
          <w:rFonts w:cs="Arial"/>
        </w:rPr>
        <w:t>dimension'</w:t>
      </w:r>
      <w:r w:rsidR="000C62A5" w:rsidRPr="006F5716">
        <w:rPr>
          <w:rFonts w:cs="Arial"/>
          <w:lang w:val="en-GB"/>
        </w:rPr>
        <w:t xml:space="preserve"> </w:t>
      </w:r>
      <w:r w:rsidR="000C62A5" w:rsidRPr="006F5716">
        <w:rPr>
          <w:rFonts w:cs="Arial"/>
        </w:rPr>
        <w:t>in</w:t>
      </w:r>
      <w:r w:rsidR="000C62A5" w:rsidRPr="006F5716">
        <w:rPr>
          <w:rFonts w:cs="Arial"/>
          <w:lang w:val="en-GB"/>
        </w:rPr>
        <w:t xml:space="preserve"> </w:t>
      </w:r>
      <w:r w:rsidR="000C62A5" w:rsidRPr="006F5716">
        <w:rPr>
          <w:rFonts w:cs="Arial"/>
        </w:rPr>
        <w:t>EU policies</w:t>
      </w:r>
      <w:r w:rsidR="000C62A5" w:rsidRPr="006F5716">
        <w:rPr>
          <w:rFonts w:cs="Arial"/>
          <w:lang w:val="en-GB"/>
        </w:rPr>
        <w:t xml:space="preserve"> and R</w:t>
      </w:r>
      <w:r w:rsidR="000C62A5" w:rsidRPr="006F5716">
        <w:rPr>
          <w:rFonts w:cs="Arial"/>
        </w:rPr>
        <w:t xml:space="preserve">egional </w:t>
      </w:r>
      <w:r w:rsidR="000C62A5" w:rsidRPr="006F5716">
        <w:rPr>
          <w:rFonts w:cs="Arial"/>
          <w:lang w:val="en-GB"/>
        </w:rPr>
        <w:t>P</w:t>
      </w:r>
      <w:r w:rsidR="000C62A5" w:rsidRPr="006F5716">
        <w:rPr>
          <w:rFonts w:cs="Arial"/>
        </w:rPr>
        <w:t>olicy.</w:t>
      </w:r>
      <w:r w:rsidR="002C4818" w:rsidRPr="006F5716">
        <w:rPr>
          <w:rFonts w:cs="Arial"/>
          <w:lang w:val="en-GB"/>
        </w:rPr>
        <w:t xml:space="preserve"> </w:t>
      </w:r>
      <w:r w:rsidR="000C62A5" w:rsidRPr="006F5716">
        <w:rPr>
          <w:rFonts w:cs="Arial"/>
          <w:lang w:val="en-GB"/>
        </w:rPr>
        <w:t>This re</w:t>
      </w:r>
      <w:r>
        <w:rPr>
          <w:rFonts w:cs="Arial"/>
          <w:lang w:val="en-GB"/>
        </w:rPr>
        <w:t>flects</w:t>
      </w:r>
      <w:r w:rsidR="000C62A5" w:rsidRPr="006F5716">
        <w:rPr>
          <w:rFonts w:cs="Arial"/>
          <w:lang w:val="en-GB"/>
        </w:rPr>
        <w:t xml:space="preserve"> the findings of the </w:t>
      </w:r>
      <w:r w:rsidR="00B94C91" w:rsidRPr="006F5716">
        <w:rPr>
          <w:rFonts w:cs="Arial"/>
          <w:lang w:val="en-GB"/>
        </w:rPr>
        <w:t xml:space="preserve">2013 </w:t>
      </w:r>
      <w:r w:rsidR="000C62A5" w:rsidRPr="006F5716">
        <w:rPr>
          <w:rFonts w:cs="Arial"/>
          <w:lang w:val="en-GB"/>
        </w:rPr>
        <w:t>ESP</w:t>
      </w:r>
      <w:r w:rsidR="00761935" w:rsidRPr="006F5716">
        <w:rPr>
          <w:rFonts w:cs="Arial"/>
          <w:lang w:val="en-GB"/>
        </w:rPr>
        <w:t>O</w:t>
      </w:r>
      <w:r w:rsidR="000C62A5" w:rsidRPr="006F5716">
        <w:rPr>
          <w:rFonts w:cs="Arial"/>
          <w:lang w:val="en-GB"/>
        </w:rPr>
        <w:t xml:space="preserve">N </w:t>
      </w:r>
      <w:r w:rsidR="00761935" w:rsidRPr="006F5716">
        <w:rPr>
          <w:rFonts w:cs="Arial"/>
          <w:lang w:val="en-GB"/>
        </w:rPr>
        <w:t>G</w:t>
      </w:r>
      <w:r w:rsidR="000D0CD2" w:rsidRPr="006F5716">
        <w:rPr>
          <w:rFonts w:cs="Arial"/>
          <w:lang w:val="en-GB"/>
        </w:rPr>
        <w:t>EOSPECS repo</w:t>
      </w:r>
      <w:r w:rsidR="00B94C91" w:rsidRPr="006F5716">
        <w:rPr>
          <w:rFonts w:cs="Arial"/>
          <w:lang w:val="en-GB"/>
        </w:rPr>
        <w:t xml:space="preserve">rt </w:t>
      </w:r>
      <w:r w:rsidR="00761935" w:rsidRPr="006F5716">
        <w:rPr>
          <w:rFonts w:cs="Arial"/>
          <w:lang w:val="en-GB"/>
        </w:rPr>
        <w:t>that concludes that by</w:t>
      </w:r>
      <w:r w:rsidR="004D4B5B" w:rsidRPr="006F5716">
        <w:rPr>
          <w:rFonts w:cs="Arial"/>
        </w:rPr>
        <w:t xml:space="preserve"> treat</w:t>
      </w:r>
      <w:r w:rsidR="002C4818" w:rsidRPr="006F5716">
        <w:rPr>
          <w:rFonts w:cs="Arial"/>
          <w:lang w:val="en-GB"/>
        </w:rPr>
        <w:t>ing</w:t>
      </w:r>
      <w:r w:rsidR="004D4B5B" w:rsidRPr="006F5716">
        <w:rPr>
          <w:rFonts w:cs="Arial"/>
        </w:rPr>
        <w:t xml:space="preserve"> EU territories in the same way</w:t>
      </w:r>
      <w:r w:rsidR="00761935" w:rsidRPr="006F5716">
        <w:rPr>
          <w:rFonts w:cs="Arial"/>
          <w:lang w:val="en-GB"/>
        </w:rPr>
        <w:t>, almost all EU sectoral policies</w:t>
      </w:r>
      <w:r w:rsidR="004D4B5B" w:rsidRPr="006F5716">
        <w:rPr>
          <w:rFonts w:cs="Arial"/>
        </w:rPr>
        <w:t xml:space="preserve"> </w:t>
      </w:r>
      <w:r w:rsidR="00761935" w:rsidRPr="006F5716">
        <w:rPr>
          <w:rFonts w:cs="Arial"/>
          <w:lang w:val="en-GB"/>
        </w:rPr>
        <w:t xml:space="preserve">are effectively </w:t>
      </w:r>
      <w:r w:rsidR="004D4B5B" w:rsidRPr="006F5716">
        <w:rPr>
          <w:rFonts w:cs="Arial"/>
        </w:rPr>
        <w:t xml:space="preserve">discriminating towards territories with specific characteristics </w:t>
      </w:r>
      <w:r>
        <w:rPr>
          <w:rFonts w:cs="Arial"/>
          <w:lang w:val="en-GB"/>
        </w:rPr>
        <w:t xml:space="preserve">such </w:t>
      </w:r>
      <w:r w:rsidR="004D4B5B" w:rsidRPr="006F5716">
        <w:rPr>
          <w:rFonts w:cs="Arial"/>
        </w:rPr>
        <w:t xml:space="preserve">as </w:t>
      </w:r>
      <w:r>
        <w:rPr>
          <w:rFonts w:cs="Arial"/>
          <w:lang w:val="en-GB"/>
        </w:rPr>
        <w:t xml:space="preserve">those of </w:t>
      </w:r>
      <w:r w:rsidR="004D4B5B" w:rsidRPr="006F5716">
        <w:rPr>
          <w:rFonts w:cs="Arial"/>
        </w:rPr>
        <w:t>islands</w:t>
      </w:r>
      <w:r w:rsidR="004D4B5B" w:rsidRPr="006F5716">
        <w:rPr>
          <w:rFonts w:cs="Arial"/>
          <w:lang w:val="en-GB"/>
        </w:rPr>
        <w:t xml:space="preserve">. </w:t>
      </w:r>
      <w:r w:rsidR="00761935" w:rsidRPr="006F5716">
        <w:rPr>
          <w:rFonts w:cs="Arial"/>
          <w:lang w:val="en-GB"/>
        </w:rPr>
        <w:t xml:space="preserve">It also states that the outputs and results of </w:t>
      </w:r>
      <w:r w:rsidR="004D4B5B" w:rsidRPr="006F5716">
        <w:rPr>
          <w:rFonts w:cs="Arial"/>
        </w:rPr>
        <w:t xml:space="preserve">EU sectoral policies are not necessarily adequate and/or strong enough </w:t>
      </w:r>
      <w:r w:rsidR="002C4818" w:rsidRPr="006F5716">
        <w:rPr>
          <w:rFonts w:cs="Arial"/>
          <w:lang w:val="en-GB"/>
        </w:rPr>
        <w:t xml:space="preserve">to change </w:t>
      </w:r>
      <w:r w:rsidR="00761935" w:rsidRPr="006F5716">
        <w:rPr>
          <w:rFonts w:cs="Arial"/>
          <w:lang w:val="en-GB"/>
        </w:rPr>
        <w:t xml:space="preserve">the attractiveness of </w:t>
      </w:r>
      <w:r w:rsidR="004D4B5B" w:rsidRPr="006F5716">
        <w:rPr>
          <w:rFonts w:cs="Arial"/>
        </w:rPr>
        <w:t>islands</w:t>
      </w:r>
      <w:r w:rsidR="00761935" w:rsidRPr="006F5716">
        <w:rPr>
          <w:rFonts w:cs="Arial"/>
          <w:lang w:val="en-GB"/>
        </w:rPr>
        <w:t xml:space="preserve"> as residential and economic centres</w:t>
      </w:r>
      <w:r w:rsidR="004D4B5B" w:rsidRPr="006F5716">
        <w:rPr>
          <w:rFonts w:cs="Arial"/>
          <w:lang w:val="en-GB"/>
        </w:rPr>
        <w:t>.</w:t>
      </w:r>
      <w:r w:rsidR="0093419A">
        <w:rPr>
          <w:rFonts w:cs="Arial"/>
          <w:lang w:val="en-GB"/>
        </w:rPr>
        <w:t xml:space="preserve"> </w:t>
      </w:r>
      <w:r w:rsidR="0093419A" w:rsidRPr="006F5716">
        <w:rPr>
          <w:lang w:val="en-GB"/>
        </w:rPr>
        <w:t xml:space="preserve">The </w:t>
      </w:r>
      <w:r w:rsidR="0064277B">
        <w:rPr>
          <w:lang w:val="en-GB"/>
        </w:rPr>
        <w:t xml:space="preserve">2017 </w:t>
      </w:r>
      <w:r w:rsidR="0093419A" w:rsidRPr="006F5716">
        <w:rPr>
          <w:lang w:val="en-GB"/>
        </w:rPr>
        <w:t xml:space="preserve">EESC </w:t>
      </w:r>
      <w:r w:rsidR="0093419A">
        <w:rPr>
          <w:lang w:val="en-GB"/>
        </w:rPr>
        <w:t>O</w:t>
      </w:r>
      <w:r w:rsidR="0093419A" w:rsidRPr="006F5716">
        <w:rPr>
          <w:lang w:val="en-GB"/>
        </w:rPr>
        <w:t>pinion</w:t>
      </w:r>
      <w:r w:rsidR="0093419A">
        <w:rPr>
          <w:lang w:val="en-GB"/>
        </w:rPr>
        <w:t xml:space="preserve"> Paper</w:t>
      </w:r>
      <w:r w:rsidR="0093419A" w:rsidRPr="006F5716">
        <w:rPr>
          <w:lang w:val="en-GB"/>
        </w:rPr>
        <w:t xml:space="preserve"> on ‘</w:t>
      </w:r>
      <w:r w:rsidR="0093419A" w:rsidRPr="006F5716">
        <w:t>Islands in the EU: from structural handicap to inclusive territory</w:t>
      </w:r>
      <w:r w:rsidR="0093419A" w:rsidRPr="006F5716">
        <w:rPr>
          <w:lang w:val="en-GB"/>
        </w:rPr>
        <w:t xml:space="preserve">’ </w:t>
      </w:r>
      <w:r w:rsidR="0093419A">
        <w:rPr>
          <w:lang w:val="en-GB"/>
        </w:rPr>
        <w:t xml:space="preserve">advocates the need for a greater degree of flexibility in the application of key </w:t>
      </w:r>
      <w:r w:rsidR="0093419A" w:rsidRPr="006F5716">
        <w:t>policy areas</w:t>
      </w:r>
      <w:r w:rsidR="0093419A">
        <w:rPr>
          <w:lang w:val="en-GB"/>
        </w:rPr>
        <w:t>,</w:t>
      </w:r>
      <w:r w:rsidR="0093419A" w:rsidRPr="006F5716">
        <w:t xml:space="preserve"> </w:t>
      </w:r>
      <w:r w:rsidR="0093419A">
        <w:rPr>
          <w:lang w:val="en-GB"/>
        </w:rPr>
        <w:t>among which</w:t>
      </w:r>
      <w:r w:rsidR="0093419A" w:rsidRPr="006F5716">
        <w:t xml:space="preserve"> Competition Policy</w:t>
      </w:r>
      <w:r w:rsidR="0093419A">
        <w:rPr>
          <w:lang w:val="en-GB"/>
        </w:rPr>
        <w:t>, to island economies</w:t>
      </w:r>
      <w:r w:rsidR="0093419A" w:rsidRPr="006F5716">
        <w:t>.</w:t>
      </w:r>
      <w:r w:rsidR="0093419A" w:rsidRPr="006F5716">
        <w:rPr>
          <w:lang w:val="en-GB"/>
        </w:rPr>
        <w:t xml:space="preserve"> </w:t>
      </w:r>
    </w:p>
    <w:p w14:paraId="26B4B147" w14:textId="59A4BB3E" w:rsidR="00480CE7" w:rsidRPr="006F5716" w:rsidRDefault="000079FD" w:rsidP="0093419A">
      <w:pPr>
        <w:autoSpaceDE w:val="0"/>
        <w:autoSpaceDN w:val="0"/>
        <w:adjustRightInd w:val="0"/>
        <w:jc w:val="both"/>
        <w:rPr>
          <w:rFonts w:cs="Arial"/>
          <w:lang w:val="en-GB"/>
        </w:rPr>
      </w:pPr>
      <w:r>
        <w:rPr>
          <w:rFonts w:cs="Arial"/>
          <w:lang w:val="en-GB"/>
        </w:rPr>
        <w:t>Complementing this line of thought, t</w:t>
      </w:r>
      <w:r w:rsidR="0027650A" w:rsidRPr="006F5716">
        <w:rPr>
          <w:rFonts w:cs="Arial"/>
          <w:lang w:val="en-GB"/>
        </w:rPr>
        <w:t xml:space="preserve">he 2019 </w:t>
      </w:r>
      <w:r w:rsidR="006D75BB" w:rsidRPr="006F5716">
        <w:rPr>
          <w:rFonts w:cs="Arial"/>
          <w:lang w:val="en-GB"/>
        </w:rPr>
        <w:t>ESPON B</w:t>
      </w:r>
      <w:r w:rsidR="0093419A">
        <w:rPr>
          <w:rFonts w:cs="Arial"/>
          <w:lang w:val="en-GB"/>
        </w:rPr>
        <w:t>RIDGES project</w:t>
      </w:r>
      <w:r w:rsidR="006D75BB" w:rsidRPr="006F5716">
        <w:rPr>
          <w:rFonts w:cs="Arial"/>
          <w:lang w:val="en-GB"/>
        </w:rPr>
        <w:t xml:space="preserve"> </w:t>
      </w:r>
      <w:r w:rsidR="00363EC2" w:rsidRPr="006F5716">
        <w:rPr>
          <w:rFonts w:cs="Arial"/>
          <w:lang w:val="en-GB"/>
        </w:rPr>
        <w:t>acknowledges the success of instances of policy flexibility in Cohesion Fund interventions and procurement procedures aimed at enhancing</w:t>
      </w:r>
      <w:r w:rsidR="002C4818" w:rsidRPr="006F5716">
        <w:rPr>
          <w:rFonts w:cs="Arial"/>
          <w:lang w:val="en-GB"/>
        </w:rPr>
        <w:t xml:space="preserve"> </w:t>
      </w:r>
      <w:r w:rsidR="00704467" w:rsidRPr="006F5716">
        <w:rPr>
          <w:rFonts w:cs="Arial"/>
          <w:lang w:val="en-GB"/>
        </w:rPr>
        <w:t>connectivity for islands, both</w:t>
      </w:r>
      <w:r w:rsidR="002C4818" w:rsidRPr="006F5716">
        <w:rPr>
          <w:rFonts w:cs="Arial"/>
          <w:lang w:val="en-GB"/>
        </w:rPr>
        <w:t xml:space="preserve"> </w:t>
      </w:r>
      <w:r w:rsidR="00363EC2" w:rsidRPr="006F5716">
        <w:rPr>
          <w:rFonts w:cs="Arial"/>
          <w:lang w:val="en-GB"/>
        </w:rPr>
        <w:t xml:space="preserve">physical </w:t>
      </w:r>
      <w:r w:rsidR="00704467" w:rsidRPr="006F5716">
        <w:rPr>
          <w:rFonts w:cs="Arial"/>
          <w:lang w:val="en-GB"/>
        </w:rPr>
        <w:t>(eg. the treatment of islands in TEN-T guidelines</w:t>
      </w:r>
      <w:r w:rsidR="00454675">
        <w:rPr>
          <w:rStyle w:val="FootnoteReference"/>
          <w:rFonts w:cs="Arial"/>
          <w:lang w:val="en-GB"/>
        </w:rPr>
        <w:footnoteReference w:id="11"/>
      </w:r>
      <w:r w:rsidR="00704467" w:rsidRPr="006F5716">
        <w:rPr>
          <w:rFonts w:cs="Arial"/>
          <w:lang w:val="en-GB"/>
        </w:rPr>
        <w:t xml:space="preserve">) </w:t>
      </w:r>
      <w:r w:rsidR="00363EC2" w:rsidRPr="006F5716">
        <w:rPr>
          <w:rFonts w:cs="Arial"/>
          <w:lang w:val="en-GB"/>
        </w:rPr>
        <w:t xml:space="preserve">and digital </w:t>
      </w:r>
      <w:r w:rsidR="00704467" w:rsidRPr="006F5716">
        <w:rPr>
          <w:rFonts w:cs="Arial"/>
          <w:lang w:val="en-GB"/>
        </w:rPr>
        <w:t>(eg. care infrastructures in Sareema), and consequent</w:t>
      </w:r>
      <w:r w:rsidR="00363EC2" w:rsidRPr="006F5716">
        <w:rPr>
          <w:rFonts w:cs="Arial"/>
          <w:lang w:val="en-GB"/>
        </w:rPr>
        <w:t xml:space="preserve"> retention and attraction of human capital</w:t>
      </w:r>
      <w:r w:rsidR="00704467" w:rsidRPr="006F5716">
        <w:rPr>
          <w:rFonts w:cs="Arial"/>
          <w:lang w:val="en-GB"/>
        </w:rPr>
        <w:t>, as well as</w:t>
      </w:r>
      <w:r w:rsidR="00363EC2" w:rsidRPr="006F5716">
        <w:rPr>
          <w:rFonts w:cs="Arial"/>
          <w:lang w:val="en-GB"/>
        </w:rPr>
        <w:t xml:space="preserve"> innovation activities</w:t>
      </w:r>
      <w:r w:rsidR="00704467" w:rsidRPr="006F5716">
        <w:rPr>
          <w:rFonts w:cs="Arial"/>
          <w:lang w:val="en-GB"/>
        </w:rPr>
        <w:t xml:space="preserve"> (eg. food projects in Bornholm</w:t>
      </w:r>
      <w:r w:rsidR="00454675">
        <w:rPr>
          <w:rStyle w:val="FootnoteReference"/>
          <w:rFonts w:cs="Arial"/>
          <w:lang w:val="en-GB"/>
        </w:rPr>
        <w:footnoteReference w:id="12"/>
      </w:r>
      <w:r w:rsidR="00704467" w:rsidRPr="006F5716">
        <w:rPr>
          <w:rFonts w:cs="Arial"/>
          <w:lang w:val="en-GB"/>
        </w:rPr>
        <w:t xml:space="preserve"> and in North Aegean Islands</w:t>
      </w:r>
      <w:r w:rsidR="00454675">
        <w:rPr>
          <w:rStyle w:val="FootnoteReference"/>
          <w:rFonts w:cs="Arial"/>
          <w:lang w:val="en-GB"/>
        </w:rPr>
        <w:footnoteReference w:id="13"/>
      </w:r>
      <w:r w:rsidR="00704467" w:rsidRPr="006F5716">
        <w:rPr>
          <w:rFonts w:cs="Arial"/>
          <w:lang w:val="en-GB"/>
        </w:rPr>
        <w:t>) and business funding mechanisms (eg. JAIME</w:t>
      </w:r>
      <w:r w:rsidR="00454675">
        <w:rPr>
          <w:rStyle w:val="FootnoteReference"/>
          <w:rFonts w:cs="Arial"/>
          <w:lang w:val="en-GB"/>
        </w:rPr>
        <w:footnoteReference w:id="14"/>
      </w:r>
      <w:r w:rsidR="00704467" w:rsidRPr="006F5716">
        <w:rPr>
          <w:rFonts w:cs="Arial"/>
          <w:lang w:val="en-GB"/>
        </w:rPr>
        <w:t xml:space="preserve"> financing package in Malta and Gozo, and the InnovFin SME guarantee scheme</w:t>
      </w:r>
      <w:r w:rsidR="00454675">
        <w:rPr>
          <w:rStyle w:val="FootnoteReference"/>
          <w:rFonts w:cs="Arial"/>
          <w:lang w:val="en-GB"/>
        </w:rPr>
        <w:footnoteReference w:id="15"/>
      </w:r>
      <w:r w:rsidR="00704467" w:rsidRPr="006F5716">
        <w:rPr>
          <w:rFonts w:cs="Arial"/>
          <w:lang w:val="en-GB"/>
        </w:rPr>
        <w:t>)</w:t>
      </w:r>
      <w:r w:rsidR="0027650A" w:rsidRPr="006F5716">
        <w:rPr>
          <w:rFonts w:cs="Arial"/>
          <w:lang w:val="en-GB"/>
        </w:rPr>
        <w:t>.</w:t>
      </w:r>
      <w:r w:rsidR="00704467" w:rsidRPr="006F5716" w:rsidDel="00363EC2">
        <w:rPr>
          <w:rFonts w:cs="Arial"/>
          <w:lang w:val="en-GB"/>
        </w:rPr>
        <w:t xml:space="preserve"> </w:t>
      </w:r>
      <w:r w:rsidR="0093419A">
        <w:rPr>
          <w:rFonts w:cs="Arial"/>
          <w:lang w:val="en-GB"/>
        </w:rPr>
        <w:t xml:space="preserve">The report </w:t>
      </w:r>
      <w:r w:rsidR="0093419A">
        <w:rPr>
          <w:lang w:val="en-GB"/>
        </w:rPr>
        <w:t>further</w:t>
      </w:r>
      <w:r w:rsidR="0027650A" w:rsidRPr="006F5716">
        <w:rPr>
          <w:lang w:val="en-GB"/>
        </w:rPr>
        <w:t xml:space="preserve"> calls for i</w:t>
      </w:r>
      <w:r w:rsidR="0027650A" w:rsidRPr="006F5716">
        <w:t>ntegrated</w:t>
      </w:r>
      <w:r>
        <w:rPr>
          <w:lang w:val="en-GB"/>
        </w:rPr>
        <w:t>,</w:t>
      </w:r>
      <w:r w:rsidR="0027650A" w:rsidRPr="006F5716">
        <w:t xml:space="preserve"> place-based strategies </w:t>
      </w:r>
      <w:r w:rsidR="0027650A" w:rsidRPr="006F5716">
        <w:rPr>
          <w:lang w:val="en-GB"/>
        </w:rPr>
        <w:t xml:space="preserve">to </w:t>
      </w:r>
      <w:r w:rsidR="0027650A" w:rsidRPr="006F5716">
        <w:t>promote the territorial potential of</w:t>
      </w:r>
      <w:r w:rsidR="0093419A">
        <w:rPr>
          <w:lang w:val="en-GB"/>
        </w:rPr>
        <w:t xml:space="preserve"> EU</w:t>
      </w:r>
      <w:r w:rsidR="0027650A" w:rsidRPr="006F5716">
        <w:t xml:space="preserve"> islands based on their unique characteristics. </w:t>
      </w:r>
      <w:r w:rsidR="0093419A">
        <w:rPr>
          <w:rFonts w:cs="Arial"/>
          <w:lang w:val="en-GB"/>
        </w:rPr>
        <w:t xml:space="preserve">The key </w:t>
      </w:r>
      <w:r w:rsidR="00480CE7" w:rsidRPr="006F5716">
        <w:rPr>
          <w:rFonts w:cs="Arial"/>
          <w:lang w:val="en-GB"/>
        </w:rPr>
        <w:t xml:space="preserve">areas </w:t>
      </w:r>
      <w:r w:rsidR="0093419A">
        <w:rPr>
          <w:rFonts w:cs="Arial"/>
          <w:lang w:val="en-GB"/>
        </w:rPr>
        <w:t>identified for the development of islands with particular relevance to their business</w:t>
      </w:r>
      <w:r w:rsidR="00480CE7" w:rsidRPr="006F5716">
        <w:rPr>
          <w:rFonts w:cs="Arial"/>
          <w:lang w:val="en-GB"/>
        </w:rPr>
        <w:t xml:space="preserve"> </w:t>
      </w:r>
      <w:r w:rsidR="0093419A">
        <w:rPr>
          <w:rFonts w:cs="Arial"/>
          <w:lang w:val="en-GB"/>
        </w:rPr>
        <w:t xml:space="preserve">competitiveness </w:t>
      </w:r>
      <w:r w:rsidR="00480CE7" w:rsidRPr="006F5716">
        <w:rPr>
          <w:rFonts w:cs="Arial"/>
          <w:lang w:val="en-GB"/>
        </w:rPr>
        <w:t xml:space="preserve">include: </w:t>
      </w:r>
    </w:p>
    <w:p w14:paraId="477FC944" w14:textId="75957860" w:rsidR="00480CE7" w:rsidRPr="00D1714A" w:rsidRDefault="00480CE7" w:rsidP="00D1714A">
      <w:pPr>
        <w:pStyle w:val="ListParagraph"/>
        <w:numPr>
          <w:ilvl w:val="0"/>
          <w:numId w:val="14"/>
        </w:numPr>
        <w:autoSpaceDE w:val="0"/>
        <w:autoSpaceDN w:val="0"/>
        <w:adjustRightInd w:val="0"/>
        <w:spacing w:after="0"/>
        <w:jc w:val="both"/>
        <w:rPr>
          <w:rFonts w:cs="Arial"/>
          <w:lang w:val="en-GB"/>
        </w:rPr>
      </w:pPr>
      <w:r w:rsidRPr="00D1714A">
        <w:rPr>
          <w:rFonts w:cs="Arial"/>
          <w:b/>
          <w:bCs/>
          <w:lang w:val="en-GB"/>
        </w:rPr>
        <w:t xml:space="preserve">Research and </w:t>
      </w:r>
      <w:r w:rsidR="00E2727E" w:rsidRPr="00D1714A">
        <w:rPr>
          <w:rFonts w:cs="Arial"/>
          <w:b/>
          <w:bCs/>
          <w:lang w:val="en-GB"/>
        </w:rPr>
        <w:t>I</w:t>
      </w:r>
      <w:r w:rsidRPr="00D1714A">
        <w:rPr>
          <w:rFonts w:cs="Arial"/>
          <w:b/>
          <w:bCs/>
          <w:lang w:val="en-GB"/>
        </w:rPr>
        <w:t>nnovation</w:t>
      </w:r>
      <w:r w:rsidR="00E2727E" w:rsidRPr="00D1714A">
        <w:rPr>
          <w:rFonts w:cs="Arial"/>
          <w:lang w:val="en-GB"/>
        </w:rPr>
        <w:t xml:space="preserve">, with a recommendation to </w:t>
      </w:r>
      <w:r w:rsidRPr="00D1714A">
        <w:rPr>
          <w:rFonts w:cs="Arial"/>
          <w:lang w:val="en-GB"/>
        </w:rPr>
        <w:t xml:space="preserve">develop clusters and smart specialisation </w:t>
      </w:r>
      <w:r w:rsidR="00E2727E" w:rsidRPr="00D1714A">
        <w:rPr>
          <w:rFonts w:cs="Arial"/>
          <w:lang w:val="en-GB"/>
        </w:rPr>
        <w:t xml:space="preserve">initiatives of sufficient critical mass (possibly also through networks between islands) to address </w:t>
      </w:r>
      <w:r w:rsidRPr="00D1714A">
        <w:rPr>
          <w:rFonts w:cs="Arial"/>
          <w:lang w:val="en-GB"/>
        </w:rPr>
        <w:t xml:space="preserve">niche activities in culture, e-services, food production </w:t>
      </w:r>
      <w:r w:rsidR="00E2727E" w:rsidRPr="00D1714A">
        <w:rPr>
          <w:rFonts w:cs="Arial"/>
          <w:lang w:val="en-GB"/>
        </w:rPr>
        <w:t>and</w:t>
      </w:r>
      <w:r w:rsidRPr="00D1714A">
        <w:rPr>
          <w:rFonts w:cs="Arial"/>
          <w:lang w:val="en-GB"/>
        </w:rPr>
        <w:t xml:space="preserve"> non-seasonal tourism</w:t>
      </w:r>
      <w:r w:rsidR="00E2727E" w:rsidRPr="00D1714A">
        <w:rPr>
          <w:rFonts w:cs="Arial"/>
          <w:lang w:val="en-GB"/>
        </w:rPr>
        <w:t>;</w:t>
      </w:r>
      <w:r w:rsidRPr="00D1714A">
        <w:rPr>
          <w:rFonts w:cs="Arial"/>
          <w:lang w:val="en-GB"/>
        </w:rPr>
        <w:t xml:space="preserve"> </w:t>
      </w:r>
    </w:p>
    <w:p w14:paraId="648FE075" w14:textId="7F35983B" w:rsidR="00480CE7" w:rsidRDefault="00480CE7" w:rsidP="00D1714A">
      <w:pPr>
        <w:pStyle w:val="ListParagraph"/>
        <w:numPr>
          <w:ilvl w:val="0"/>
          <w:numId w:val="14"/>
        </w:numPr>
        <w:autoSpaceDE w:val="0"/>
        <w:autoSpaceDN w:val="0"/>
        <w:adjustRightInd w:val="0"/>
        <w:spacing w:after="0"/>
        <w:jc w:val="both"/>
        <w:rPr>
          <w:rFonts w:cs="Arial"/>
          <w:lang w:val="en-GB"/>
        </w:rPr>
      </w:pPr>
      <w:r w:rsidRPr="00E2727E">
        <w:rPr>
          <w:rFonts w:cs="Arial"/>
          <w:b/>
          <w:bCs/>
          <w:lang w:val="en-GB"/>
        </w:rPr>
        <w:t>Education and Training</w:t>
      </w:r>
      <w:r w:rsidR="00E2727E">
        <w:rPr>
          <w:rFonts w:cs="Arial"/>
          <w:lang w:val="en-GB"/>
        </w:rPr>
        <w:t>, to</w:t>
      </w:r>
      <w:r w:rsidRPr="00480CE7">
        <w:rPr>
          <w:rFonts w:cs="Arial"/>
          <w:lang w:val="en-GB"/>
        </w:rPr>
        <w:t xml:space="preserve"> attract specialised skills </w:t>
      </w:r>
      <w:r w:rsidR="00E2727E">
        <w:rPr>
          <w:rFonts w:cs="Arial"/>
          <w:lang w:val="en-GB"/>
        </w:rPr>
        <w:t xml:space="preserve">and overcome </w:t>
      </w:r>
      <w:r w:rsidRPr="00480CE7">
        <w:rPr>
          <w:rFonts w:cs="Arial"/>
          <w:lang w:val="en-GB"/>
        </w:rPr>
        <w:t>brain-drain challenges</w:t>
      </w:r>
      <w:r w:rsidR="00E2727E">
        <w:rPr>
          <w:rFonts w:cs="Arial"/>
          <w:lang w:val="en-GB"/>
        </w:rPr>
        <w:t>, in good part also by providing attractive employment opportunities within islands themselves;</w:t>
      </w:r>
      <w:r w:rsidRPr="00480CE7">
        <w:rPr>
          <w:rFonts w:cs="Arial"/>
          <w:lang w:val="en-GB"/>
        </w:rPr>
        <w:t xml:space="preserve"> </w:t>
      </w:r>
    </w:p>
    <w:p w14:paraId="1A5CB67D" w14:textId="2C1FEBD2" w:rsidR="00480CE7" w:rsidRDefault="00480CE7" w:rsidP="00D1714A">
      <w:pPr>
        <w:pStyle w:val="ListParagraph"/>
        <w:numPr>
          <w:ilvl w:val="0"/>
          <w:numId w:val="14"/>
        </w:numPr>
        <w:autoSpaceDE w:val="0"/>
        <w:autoSpaceDN w:val="0"/>
        <w:adjustRightInd w:val="0"/>
        <w:spacing w:after="0"/>
        <w:jc w:val="both"/>
        <w:rPr>
          <w:rFonts w:cs="Arial"/>
          <w:lang w:val="en-GB"/>
        </w:rPr>
      </w:pPr>
      <w:r w:rsidRPr="00E2727E">
        <w:rPr>
          <w:rFonts w:cs="Arial"/>
          <w:b/>
          <w:bCs/>
          <w:lang w:val="en-GB"/>
        </w:rPr>
        <w:t>Sustainable Tourism</w:t>
      </w:r>
      <w:r w:rsidR="00E2727E">
        <w:rPr>
          <w:rFonts w:cs="Arial"/>
          <w:lang w:val="en-GB"/>
        </w:rPr>
        <w:t>,</w:t>
      </w:r>
      <w:r w:rsidRPr="00480CE7">
        <w:rPr>
          <w:rFonts w:cs="Arial"/>
          <w:lang w:val="en-GB"/>
        </w:rPr>
        <w:t xml:space="preserve"> </w:t>
      </w:r>
      <w:r w:rsidR="00E2727E">
        <w:rPr>
          <w:rFonts w:cs="Arial"/>
          <w:lang w:val="en-GB"/>
        </w:rPr>
        <w:t>t</w:t>
      </w:r>
      <w:r w:rsidRPr="00480CE7">
        <w:rPr>
          <w:rFonts w:cs="Arial"/>
          <w:lang w:val="en-GB"/>
        </w:rPr>
        <w:t xml:space="preserve">aking into account the ecological </w:t>
      </w:r>
      <w:r w:rsidR="00E2727E">
        <w:rPr>
          <w:rFonts w:cs="Arial"/>
          <w:lang w:val="en-GB"/>
        </w:rPr>
        <w:t xml:space="preserve">and infrastructural </w:t>
      </w:r>
      <w:r w:rsidRPr="00480CE7">
        <w:rPr>
          <w:rFonts w:cs="Arial"/>
          <w:lang w:val="en-GB"/>
        </w:rPr>
        <w:t xml:space="preserve">capacities of islands </w:t>
      </w:r>
      <w:r w:rsidR="00E2727E">
        <w:rPr>
          <w:rFonts w:cs="Arial"/>
          <w:lang w:val="en-GB"/>
        </w:rPr>
        <w:t>, focused on appropriate market niches, with potential important spill-over effects into the promotion of cultural activities</w:t>
      </w:r>
      <w:r w:rsidR="00D1714A">
        <w:rPr>
          <w:rFonts w:cs="Arial"/>
          <w:lang w:val="en-GB"/>
        </w:rPr>
        <w:t>;</w:t>
      </w:r>
      <w:r w:rsidRPr="00480CE7">
        <w:rPr>
          <w:rFonts w:cs="Arial"/>
          <w:lang w:val="en-GB"/>
        </w:rPr>
        <w:t xml:space="preserve"> </w:t>
      </w:r>
    </w:p>
    <w:p w14:paraId="672CE330" w14:textId="0040BDF2" w:rsidR="00480CE7" w:rsidRPr="00480CE7" w:rsidRDefault="00480CE7" w:rsidP="00D1714A">
      <w:pPr>
        <w:pStyle w:val="ListParagraph"/>
        <w:numPr>
          <w:ilvl w:val="0"/>
          <w:numId w:val="14"/>
        </w:numPr>
        <w:autoSpaceDE w:val="0"/>
        <w:autoSpaceDN w:val="0"/>
        <w:adjustRightInd w:val="0"/>
        <w:spacing w:after="0"/>
        <w:jc w:val="both"/>
        <w:rPr>
          <w:rFonts w:cs="Arial"/>
          <w:lang w:val="en-GB"/>
        </w:rPr>
      </w:pPr>
      <w:r w:rsidRPr="00E2727E">
        <w:rPr>
          <w:rFonts w:cs="Arial"/>
          <w:b/>
          <w:bCs/>
          <w:lang w:val="en-GB"/>
        </w:rPr>
        <w:t>Climate Change</w:t>
      </w:r>
      <w:r w:rsidR="00E2727E">
        <w:rPr>
          <w:rFonts w:cs="Arial"/>
          <w:lang w:val="en-GB"/>
        </w:rPr>
        <w:t>, to address the special difficulties which business on islands would potentially face through climate change effects, including the availability of natural resources, the sustainability of health services and tourism demand.</w:t>
      </w:r>
      <w:r w:rsidRPr="00480CE7">
        <w:rPr>
          <w:rFonts w:cs="Arial"/>
          <w:lang w:val="en-GB"/>
        </w:rPr>
        <w:t xml:space="preserve"> </w:t>
      </w:r>
    </w:p>
    <w:p w14:paraId="2BC14550" w14:textId="77777777" w:rsidR="005002ED" w:rsidRDefault="005002ED" w:rsidP="005002ED">
      <w:pPr>
        <w:autoSpaceDE w:val="0"/>
        <w:autoSpaceDN w:val="0"/>
        <w:adjustRightInd w:val="0"/>
        <w:spacing w:after="0" w:line="240" w:lineRule="auto"/>
        <w:jc w:val="both"/>
        <w:rPr>
          <w:lang w:val="en-GB"/>
        </w:rPr>
      </w:pPr>
    </w:p>
    <w:p w14:paraId="4CDBDBF1" w14:textId="29919274" w:rsidR="002450E3" w:rsidRDefault="002450E3" w:rsidP="0027650A">
      <w:pPr>
        <w:pStyle w:val="ListParagraph"/>
        <w:autoSpaceDE w:val="0"/>
        <w:autoSpaceDN w:val="0"/>
        <w:adjustRightInd w:val="0"/>
        <w:spacing w:after="0" w:line="240" w:lineRule="auto"/>
        <w:ind w:left="714"/>
        <w:jc w:val="both"/>
        <w:rPr>
          <w:lang w:val="en-GB"/>
        </w:rPr>
      </w:pPr>
    </w:p>
    <w:p w14:paraId="7C337DC8" w14:textId="5F96D62D" w:rsidR="002450E3" w:rsidRPr="006F5716" w:rsidRDefault="007F7E1E" w:rsidP="002450E3">
      <w:pPr>
        <w:jc w:val="both"/>
        <w:rPr>
          <w:b/>
          <w:bCs/>
          <w:sz w:val="24"/>
          <w:szCs w:val="24"/>
          <w:lang w:val="en-GB"/>
        </w:rPr>
      </w:pPr>
      <w:r w:rsidRPr="006F5716">
        <w:rPr>
          <w:b/>
          <w:bCs/>
          <w:sz w:val="24"/>
          <w:szCs w:val="24"/>
          <w:lang w:val="en-GB"/>
        </w:rPr>
        <w:t xml:space="preserve">3.  </w:t>
      </w:r>
      <w:r w:rsidR="003223E8">
        <w:rPr>
          <w:b/>
          <w:bCs/>
          <w:sz w:val="24"/>
          <w:szCs w:val="24"/>
          <w:lang w:val="en-GB"/>
        </w:rPr>
        <w:t xml:space="preserve">Flexibility in </w:t>
      </w:r>
      <w:r w:rsidR="002450E3" w:rsidRPr="006F5716">
        <w:rPr>
          <w:b/>
          <w:bCs/>
          <w:sz w:val="24"/>
          <w:szCs w:val="24"/>
          <w:lang w:val="en-GB"/>
        </w:rPr>
        <w:t xml:space="preserve">State Aid </w:t>
      </w:r>
      <w:r w:rsidR="003223E8">
        <w:rPr>
          <w:b/>
          <w:bCs/>
          <w:sz w:val="24"/>
          <w:szCs w:val="24"/>
          <w:lang w:val="en-GB"/>
        </w:rPr>
        <w:t>R</w:t>
      </w:r>
      <w:r w:rsidR="003223E8" w:rsidRPr="006F5716">
        <w:rPr>
          <w:b/>
          <w:bCs/>
          <w:sz w:val="24"/>
          <w:szCs w:val="24"/>
          <w:lang w:val="en-GB"/>
        </w:rPr>
        <w:t xml:space="preserve">ules </w:t>
      </w:r>
      <w:r w:rsidR="002450E3" w:rsidRPr="006F5716">
        <w:rPr>
          <w:b/>
          <w:bCs/>
          <w:sz w:val="24"/>
          <w:szCs w:val="24"/>
          <w:lang w:val="en-GB"/>
        </w:rPr>
        <w:t>for Enhanced Business Development in Islands</w:t>
      </w:r>
    </w:p>
    <w:p w14:paraId="0A51435A" w14:textId="77777777" w:rsidR="00D1714A" w:rsidRDefault="002450E3" w:rsidP="00D1714A">
      <w:pPr>
        <w:spacing w:after="0"/>
        <w:jc w:val="both"/>
        <w:rPr>
          <w:rFonts w:cstheme="minorHAnsi"/>
          <w:lang w:val="en-GB"/>
        </w:rPr>
      </w:pPr>
      <w:r w:rsidRPr="006F5716">
        <w:rPr>
          <w:rFonts w:cstheme="minorHAnsi"/>
          <w:lang w:val="en-GB"/>
        </w:rPr>
        <w:t xml:space="preserve">In </w:t>
      </w:r>
      <w:r w:rsidRPr="006F5716">
        <w:rPr>
          <w:rFonts w:cstheme="minorHAnsi"/>
        </w:rPr>
        <w:t xml:space="preserve">spite of </w:t>
      </w:r>
      <w:r w:rsidRPr="006F5716">
        <w:rPr>
          <w:rFonts w:cstheme="minorHAnsi"/>
          <w:lang w:val="en-GB"/>
        </w:rPr>
        <w:t xml:space="preserve">various </w:t>
      </w:r>
      <w:r w:rsidRPr="006F5716">
        <w:rPr>
          <w:rFonts w:cstheme="minorHAnsi"/>
        </w:rPr>
        <w:t>efforts</w:t>
      </w:r>
      <w:r w:rsidRPr="006F5716">
        <w:rPr>
          <w:rFonts w:cstheme="minorHAnsi"/>
          <w:lang w:val="en-GB"/>
        </w:rPr>
        <w:t xml:space="preserve"> and select</w:t>
      </w:r>
      <w:r w:rsidR="00D1714A">
        <w:rPr>
          <w:rFonts w:cstheme="minorHAnsi"/>
          <w:lang w:val="en-GB"/>
        </w:rPr>
        <w:t>ed</w:t>
      </w:r>
      <w:r w:rsidRPr="006F5716">
        <w:rPr>
          <w:rFonts w:cstheme="minorHAnsi"/>
          <w:lang w:val="en-GB"/>
        </w:rPr>
        <w:t xml:space="preserve"> cases</w:t>
      </w:r>
      <w:r w:rsidR="00D1714A">
        <w:rPr>
          <w:rFonts w:cstheme="minorHAnsi"/>
          <w:lang w:val="en-GB"/>
        </w:rPr>
        <w:t xml:space="preserve"> of good practice</w:t>
      </w:r>
      <w:r w:rsidRPr="006F5716">
        <w:rPr>
          <w:rFonts w:cstheme="minorHAnsi"/>
          <w:lang w:val="en-GB"/>
        </w:rPr>
        <w:t xml:space="preserve">, </w:t>
      </w:r>
      <w:r w:rsidRPr="006F5716">
        <w:rPr>
          <w:rFonts w:cstheme="minorHAnsi"/>
        </w:rPr>
        <w:t xml:space="preserve">islands </w:t>
      </w:r>
      <w:r w:rsidR="00D1714A">
        <w:rPr>
          <w:rFonts w:cstheme="minorHAnsi"/>
          <w:lang w:val="en-GB"/>
        </w:rPr>
        <w:t xml:space="preserve">in the EU </w:t>
      </w:r>
      <w:r w:rsidRPr="006F5716">
        <w:rPr>
          <w:rFonts w:cstheme="minorHAnsi"/>
        </w:rPr>
        <w:t>continue to lag behind</w:t>
      </w:r>
      <w:r w:rsidR="00D1714A">
        <w:rPr>
          <w:rFonts w:cstheme="minorHAnsi"/>
          <w:lang w:val="en-GB"/>
        </w:rPr>
        <w:t xml:space="preserve"> in terms of socio-economic development</w:t>
      </w:r>
      <w:r w:rsidRPr="006F5716">
        <w:rPr>
          <w:rFonts w:cstheme="minorHAnsi"/>
        </w:rPr>
        <w:t xml:space="preserve">, </w:t>
      </w:r>
      <w:r w:rsidR="00D1714A">
        <w:rPr>
          <w:rFonts w:cstheme="minorHAnsi"/>
          <w:lang w:val="en-GB"/>
        </w:rPr>
        <w:t xml:space="preserve">in part </w:t>
      </w:r>
      <w:r w:rsidRPr="006F5716">
        <w:rPr>
          <w:rFonts w:cstheme="minorHAnsi"/>
        </w:rPr>
        <w:t xml:space="preserve">because State Aid rules </w:t>
      </w:r>
      <w:r w:rsidR="00D1714A">
        <w:rPr>
          <w:rFonts w:cstheme="minorHAnsi"/>
          <w:lang w:val="en-GB"/>
        </w:rPr>
        <w:t>create a non-level playing field for</w:t>
      </w:r>
      <w:r w:rsidRPr="006F5716">
        <w:rPr>
          <w:rFonts w:cstheme="minorHAnsi"/>
        </w:rPr>
        <w:t xml:space="preserve"> business in islands.</w:t>
      </w:r>
      <w:r w:rsidR="00D1714A">
        <w:rPr>
          <w:rFonts w:cstheme="minorHAnsi"/>
          <w:lang w:val="en-GB"/>
        </w:rPr>
        <w:t xml:space="preserve"> Indeed, t</w:t>
      </w:r>
      <w:r w:rsidRPr="006F5716">
        <w:rPr>
          <w:rFonts w:cstheme="minorHAnsi"/>
          <w:lang w:val="en-GB"/>
        </w:rPr>
        <w:t xml:space="preserve">he </w:t>
      </w:r>
      <w:r w:rsidR="00D1714A">
        <w:rPr>
          <w:rFonts w:cstheme="minorHAnsi"/>
          <w:lang w:val="en-GB"/>
        </w:rPr>
        <w:t xml:space="preserve">policy </w:t>
      </w:r>
      <w:r w:rsidRPr="006F5716">
        <w:rPr>
          <w:rFonts w:cstheme="minorHAnsi"/>
          <w:lang w:val="en-GB"/>
        </w:rPr>
        <w:t xml:space="preserve">area of State Aid </w:t>
      </w:r>
      <w:r w:rsidR="00D1714A">
        <w:rPr>
          <w:rFonts w:cstheme="minorHAnsi"/>
          <w:lang w:val="en-GB"/>
        </w:rPr>
        <w:t xml:space="preserve">remains significantly </w:t>
      </w:r>
      <w:r w:rsidRPr="006F5716">
        <w:rPr>
          <w:rFonts w:cstheme="minorHAnsi"/>
          <w:lang w:val="en-GB"/>
        </w:rPr>
        <w:t xml:space="preserve">underdeveloped in terms of </w:t>
      </w:r>
      <w:r w:rsidR="00D1714A">
        <w:rPr>
          <w:rFonts w:cstheme="minorHAnsi"/>
          <w:lang w:val="en-GB"/>
        </w:rPr>
        <w:t>the need for</w:t>
      </w:r>
      <w:r w:rsidRPr="006F5716">
        <w:rPr>
          <w:rFonts w:cstheme="minorHAnsi"/>
          <w:lang w:val="en-GB"/>
        </w:rPr>
        <w:t xml:space="preserve"> provi</w:t>
      </w:r>
      <w:r w:rsidR="00D1714A">
        <w:rPr>
          <w:rFonts w:cstheme="minorHAnsi"/>
          <w:lang w:val="en-GB"/>
        </w:rPr>
        <w:t>ding flexibility</w:t>
      </w:r>
      <w:r w:rsidRPr="006F5716">
        <w:rPr>
          <w:rFonts w:cstheme="minorHAnsi"/>
          <w:lang w:val="en-GB"/>
        </w:rPr>
        <w:t xml:space="preserve"> with respect to </w:t>
      </w:r>
      <w:r w:rsidR="00D1714A">
        <w:rPr>
          <w:rFonts w:cstheme="minorHAnsi"/>
          <w:lang w:val="en-GB"/>
        </w:rPr>
        <w:t>i</w:t>
      </w:r>
      <w:r w:rsidRPr="006F5716">
        <w:rPr>
          <w:rFonts w:cstheme="minorHAnsi"/>
          <w:lang w:val="en-GB"/>
        </w:rPr>
        <w:t>sland</w:t>
      </w:r>
      <w:r w:rsidR="00D1714A">
        <w:rPr>
          <w:rFonts w:cstheme="minorHAnsi"/>
          <w:lang w:val="en-GB"/>
        </w:rPr>
        <w:t xml:space="preserve"> territorie</w:t>
      </w:r>
      <w:r w:rsidRPr="006F5716">
        <w:rPr>
          <w:rFonts w:cstheme="minorHAnsi"/>
          <w:lang w:val="en-GB"/>
        </w:rPr>
        <w:t>s</w:t>
      </w:r>
      <w:r w:rsidR="00960C42">
        <w:rPr>
          <w:rFonts w:cstheme="minorHAnsi"/>
          <w:lang w:val="en-GB"/>
        </w:rPr>
        <w:t>.</w:t>
      </w:r>
      <w:r w:rsidRPr="006F5716">
        <w:rPr>
          <w:rFonts w:cstheme="minorHAnsi"/>
          <w:lang w:val="en-GB"/>
        </w:rPr>
        <w:t xml:space="preserve"> </w:t>
      </w:r>
    </w:p>
    <w:p w14:paraId="6D266734" w14:textId="77777777" w:rsidR="00D1714A" w:rsidRDefault="00D1714A" w:rsidP="00D1714A">
      <w:pPr>
        <w:spacing w:after="0"/>
        <w:jc w:val="both"/>
        <w:rPr>
          <w:rFonts w:cstheme="minorHAnsi"/>
          <w:lang w:val="en-GB"/>
        </w:rPr>
      </w:pPr>
    </w:p>
    <w:p w14:paraId="221494B9" w14:textId="77777777" w:rsidR="00D1714A" w:rsidRDefault="002450E3" w:rsidP="00D1714A">
      <w:pPr>
        <w:spacing w:after="0"/>
        <w:jc w:val="both"/>
        <w:rPr>
          <w:rFonts w:cstheme="minorHAnsi"/>
          <w:lang w:val="en-GB"/>
        </w:rPr>
      </w:pPr>
      <w:r w:rsidRPr="006F5716">
        <w:rPr>
          <w:rFonts w:cstheme="minorHAnsi"/>
          <w:lang w:val="en-GB"/>
        </w:rPr>
        <w:t xml:space="preserve">EU State aid control requires prior notification of all new aid measures to the Commission. Member States must wait for the Commission's decision before they can put the measure into effect. There are a few exceptions to mandatory notification, </w:t>
      </w:r>
      <w:r w:rsidR="00D1714A">
        <w:rPr>
          <w:rFonts w:cstheme="minorHAnsi"/>
          <w:lang w:val="en-GB"/>
        </w:rPr>
        <w:t>including</w:t>
      </w:r>
      <w:r w:rsidRPr="006F5716">
        <w:rPr>
          <w:rFonts w:cstheme="minorHAnsi"/>
          <w:lang w:val="en-GB"/>
        </w:rPr>
        <w:t>:</w:t>
      </w:r>
    </w:p>
    <w:p w14:paraId="59004C81" w14:textId="77777777" w:rsidR="00D1714A" w:rsidRDefault="002450E3" w:rsidP="00D1714A">
      <w:pPr>
        <w:pStyle w:val="ListParagraph"/>
        <w:numPr>
          <w:ilvl w:val="0"/>
          <w:numId w:val="13"/>
        </w:numPr>
        <w:spacing w:after="0"/>
        <w:jc w:val="both"/>
        <w:rPr>
          <w:rFonts w:cstheme="minorHAnsi"/>
          <w:lang w:val="en-GB"/>
        </w:rPr>
      </w:pPr>
      <w:r w:rsidRPr="00D1714A">
        <w:rPr>
          <w:rFonts w:cstheme="minorHAnsi"/>
          <w:lang w:val="en-GB"/>
        </w:rPr>
        <w:t>aid covered by a Block Exemption (giving automatic approval for a range of aid measures defined by the Commission</w:t>
      </w:r>
      <w:r w:rsidR="009D470D" w:rsidRPr="00D1714A">
        <w:rPr>
          <w:rFonts w:cstheme="minorHAnsi"/>
          <w:lang w:val="en-GB"/>
        </w:rPr>
        <w:t xml:space="preserve"> such as investment aid</w:t>
      </w:r>
      <w:r w:rsidR="00CC61ED" w:rsidRPr="00D1714A">
        <w:rPr>
          <w:rFonts w:cstheme="minorHAnsi"/>
          <w:lang w:val="en-GB"/>
        </w:rPr>
        <w:t xml:space="preserve"> and risk capital</w:t>
      </w:r>
      <w:r w:rsidRPr="00D1714A">
        <w:rPr>
          <w:rFonts w:cstheme="minorHAnsi"/>
          <w:lang w:val="en-GB"/>
        </w:rPr>
        <w:t>)</w:t>
      </w:r>
      <w:r w:rsidR="00D1714A">
        <w:rPr>
          <w:rFonts w:cstheme="minorHAnsi"/>
          <w:lang w:val="en-GB"/>
        </w:rPr>
        <w:t>;</w:t>
      </w:r>
    </w:p>
    <w:p w14:paraId="383192D5" w14:textId="32033AC0" w:rsidR="00D1714A" w:rsidRPr="00D1714A" w:rsidRDefault="00D1714A" w:rsidP="00D1714A">
      <w:pPr>
        <w:pStyle w:val="ListParagraph"/>
        <w:numPr>
          <w:ilvl w:val="0"/>
          <w:numId w:val="13"/>
        </w:numPr>
        <w:spacing w:before="100" w:beforeAutospacing="1" w:after="100" w:afterAutospacing="1"/>
        <w:rPr>
          <w:rFonts w:cstheme="minorHAnsi"/>
          <w:lang w:val="en-GB"/>
        </w:rPr>
      </w:pPr>
      <w:r w:rsidRPr="00D1714A">
        <w:rPr>
          <w:rFonts w:cstheme="minorHAnsi"/>
          <w:lang w:val="en-GB"/>
        </w:rPr>
        <w:t>aid granted under an aid scheme already authorised by the Commission</w:t>
      </w:r>
      <w:r>
        <w:rPr>
          <w:rFonts w:cstheme="minorHAnsi"/>
          <w:lang w:val="en-GB"/>
        </w:rPr>
        <w:t>;</w:t>
      </w:r>
      <w:r w:rsidR="002450E3" w:rsidRPr="00D1714A">
        <w:rPr>
          <w:rFonts w:cstheme="minorHAnsi"/>
          <w:lang w:val="en-GB"/>
        </w:rPr>
        <w:t xml:space="preserve"> </w:t>
      </w:r>
    </w:p>
    <w:p w14:paraId="46B629ED" w14:textId="77777777" w:rsidR="00D1714A" w:rsidRDefault="002450E3" w:rsidP="00D1714A">
      <w:pPr>
        <w:pStyle w:val="ListParagraph"/>
        <w:numPr>
          <w:ilvl w:val="0"/>
          <w:numId w:val="13"/>
        </w:numPr>
        <w:spacing w:after="0"/>
        <w:jc w:val="both"/>
        <w:rPr>
          <w:rFonts w:cstheme="minorHAnsi"/>
          <w:lang w:val="en-GB"/>
        </w:rPr>
      </w:pPr>
      <w:r w:rsidRPr="00D1714A">
        <w:rPr>
          <w:rFonts w:cstheme="minorHAnsi"/>
          <w:lang w:val="en-GB"/>
        </w:rPr>
        <w:t xml:space="preserve">de minimis aid not exceeding €200,000 per undertaking over any period of </w:t>
      </w:r>
      <w:r w:rsidR="009D470D" w:rsidRPr="00D1714A">
        <w:rPr>
          <w:rFonts w:cstheme="minorHAnsi"/>
          <w:lang w:val="en-GB"/>
        </w:rPr>
        <w:t>three</w:t>
      </w:r>
      <w:r w:rsidRPr="00D1714A">
        <w:rPr>
          <w:rFonts w:cstheme="minorHAnsi"/>
          <w:lang w:val="en-GB"/>
        </w:rPr>
        <w:t xml:space="preserve"> fiscal years (€100,000 in the road transport sector)</w:t>
      </w:r>
      <w:r w:rsidR="00D1714A">
        <w:rPr>
          <w:rFonts w:cstheme="minorHAnsi"/>
          <w:lang w:val="en-GB"/>
        </w:rPr>
        <w:t>.</w:t>
      </w:r>
    </w:p>
    <w:p w14:paraId="7EEBBFF4" w14:textId="442B284F" w:rsidR="005002ED" w:rsidRPr="00D1714A" w:rsidRDefault="002450E3" w:rsidP="00D1714A">
      <w:pPr>
        <w:pStyle w:val="ListParagraph"/>
        <w:spacing w:after="0"/>
        <w:jc w:val="both"/>
        <w:rPr>
          <w:rFonts w:cstheme="minorHAnsi"/>
          <w:lang w:val="en-GB"/>
        </w:rPr>
      </w:pPr>
      <w:r w:rsidRPr="00D1714A">
        <w:rPr>
          <w:rFonts w:cstheme="minorHAnsi"/>
          <w:lang w:val="en-GB"/>
        </w:rPr>
        <w:t xml:space="preserve"> </w:t>
      </w:r>
    </w:p>
    <w:p w14:paraId="38F4D080" w14:textId="417B5FB9" w:rsidR="009D470D" w:rsidRPr="006F5716" w:rsidRDefault="002450E3" w:rsidP="006F5716">
      <w:pPr>
        <w:pStyle w:val="NormalWeb"/>
        <w:spacing w:before="0" w:beforeAutospacing="0" w:after="0" w:afterAutospacing="0" w:line="259" w:lineRule="auto"/>
        <w:jc w:val="both"/>
        <w:rPr>
          <w:rFonts w:asciiTheme="minorHAnsi" w:eastAsiaTheme="minorHAnsi" w:hAnsiTheme="minorHAnsi" w:cstheme="minorHAnsi"/>
          <w:sz w:val="22"/>
          <w:szCs w:val="22"/>
          <w:lang w:val="en-GB"/>
        </w:rPr>
      </w:pPr>
      <w:r w:rsidRPr="006F5716">
        <w:rPr>
          <w:rFonts w:asciiTheme="minorHAnsi" w:eastAsiaTheme="minorHAnsi" w:hAnsiTheme="minorHAnsi" w:cstheme="minorHAnsi"/>
          <w:sz w:val="22"/>
          <w:szCs w:val="22"/>
          <w:lang w:val="en-GB"/>
        </w:rPr>
        <w:t>In applying th</w:t>
      </w:r>
      <w:r w:rsidR="009D470D" w:rsidRPr="006F5716">
        <w:rPr>
          <w:rFonts w:asciiTheme="minorHAnsi" w:eastAsiaTheme="minorHAnsi" w:hAnsiTheme="minorHAnsi" w:cstheme="minorHAnsi"/>
          <w:sz w:val="22"/>
          <w:szCs w:val="22"/>
          <w:lang w:val="en-GB"/>
        </w:rPr>
        <w:t>e €200,000 per undertaking rule</w:t>
      </w:r>
      <w:r w:rsidRPr="006F5716">
        <w:rPr>
          <w:rFonts w:asciiTheme="minorHAnsi" w:eastAsiaTheme="minorHAnsi" w:hAnsiTheme="minorHAnsi" w:cstheme="minorHAnsi"/>
          <w:sz w:val="22"/>
          <w:szCs w:val="22"/>
          <w:lang w:val="en-GB"/>
        </w:rPr>
        <w:t xml:space="preserve">, </w:t>
      </w:r>
      <w:r w:rsidR="009D470D" w:rsidRPr="006F5716">
        <w:rPr>
          <w:rFonts w:asciiTheme="minorHAnsi" w:eastAsiaTheme="minorHAnsi" w:hAnsiTheme="minorHAnsi" w:cstheme="minorHAnsi"/>
          <w:sz w:val="22"/>
          <w:szCs w:val="22"/>
          <w:lang w:val="en-GB"/>
        </w:rPr>
        <w:t>the maximum amount applies to the total of all public assistance irrespective of the form it takes or the objective pursued. De minimis aid cannot be cumulated with other aid in respect of the same eligible costs if it results in an aid intensity exceeding the maximum intensity specified in guidelines or that is block exempt</w:t>
      </w:r>
      <w:r w:rsidR="00D1714A">
        <w:rPr>
          <w:rStyle w:val="FootnoteReference"/>
          <w:rFonts w:asciiTheme="minorHAnsi" w:eastAsiaTheme="minorHAnsi" w:hAnsiTheme="minorHAnsi" w:cstheme="minorHAnsi"/>
          <w:szCs w:val="22"/>
          <w:lang w:val="en-GB"/>
        </w:rPr>
        <w:footnoteReference w:id="16"/>
      </w:r>
      <w:r w:rsidR="009D470D" w:rsidRPr="006F5716">
        <w:rPr>
          <w:rFonts w:asciiTheme="minorHAnsi" w:eastAsiaTheme="minorHAnsi" w:hAnsiTheme="minorHAnsi" w:cstheme="minorHAnsi"/>
          <w:sz w:val="22"/>
          <w:szCs w:val="22"/>
          <w:lang w:val="en-GB"/>
        </w:rPr>
        <w:t xml:space="preserve">. </w:t>
      </w:r>
    </w:p>
    <w:p w14:paraId="163D2127" w14:textId="3B9DF4E7" w:rsidR="009D470D" w:rsidRPr="006F5716" w:rsidRDefault="009D470D" w:rsidP="006F5716">
      <w:pPr>
        <w:autoSpaceDE w:val="0"/>
        <w:autoSpaceDN w:val="0"/>
        <w:adjustRightInd w:val="0"/>
        <w:spacing w:after="0"/>
        <w:jc w:val="both"/>
        <w:rPr>
          <w:rFonts w:cstheme="minorHAnsi"/>
          <w:lang w:val="en-GB"/>
        </w:rPr>
      </w:pPr>
    </w:p>
    <w:p w14:paraId="745C6445" w14:textId="18EE52BB" w:rsidR="002C4818" w:rsidRPr="006F5716" w:rsidRDefault="00D62D7B" w:rsidP="006F5716">
      <w:pPr>
        <w:autoSpaceDE w:val="0"/>
        <w:autoSpaceDN w:val="0"/>
        <w:adjustRightInd w:val="0"/>
        <w:spacing w:after="0"/>
        <w:jc w:val="both"/>
        <w:rPr>
          <w:rFonts w:cstheme="minorHAnsi"/>
          <w:lang w:val="en-GB"/>
        </w:rPr>
      </w:pPr>
      <w:r w:rsidRPr="006F5716">
        <w:rPr>
          <w:rFonts w:cstheme="minorHAnsi"/>
          <w:lang w:val="en-GB"/>
        </w:rPr>
        <w:t>One of the criteria for the compatibility of aid measures with the Treaty is the need for state intervention when faced with a problem of equity or cohesion for which the market does not itself provide significant improvements. In this sense the aid granted in assisted zones, under the terms of articles 107.3.a and c</w:t>
      </w:r>
      <w:r w:rsidRPr="006F5716">
        <w:rPr>
          <w:rStyle w:val="FootnoteReference"/>
          <w:rFonts w:cstheme="minorHAnsi"/>
          <w:sz w:val="22"/>
          <w:lang w:val="en-GB"/>
        </w:rPr>
        <w:footnoteReference w:id="17"/>
      </w:r>
      <w:r w:rsidRPr="006F5716">
        <w:rPr>
          <w:rFonts w:cstheme="minorHAnsi"/>
          <w:lang w:val="en-GB"/>
        </w:rPr>
        <w:t xml:space="preserve">, are considered compatible with the market. </w:t>
      </w:r>
      <w:r w:rsidR="00D1714A">
        <w:rPr>
          <w:rFonts w:cstheme="minorHAnsi"/>
          <w:lang w:val="en-GB"/>
        </w:rPr>
        <w:t>However, d</w:t>
      </w:r>
      <w:r w:rsidR="002450E3" w:rsidRPr="006F5716">
        <w:rPr>
          <w:rFonts w:cstheme="minorHAnsi"/>
          <w:lang w:val="en-GB"/>
        </w:rPr>
        <w:t xml:space="preserve">e minimis regulations do not take into account the specific nature of territories such as islands whose handicaps are explicitly recognised by Article 174 of the Treaty. </w:t>
      </w:r>
    </w:p>
    <w:p w14:paraId="190AFA1B" w14:textId="77777777" w:rsidR="002C4818" w:rsidRPr="006F5716" w:rsidRDefault="002C4818" w:rsidP="006F5716">
      <w:pPr>
        <w:autoSpaceDE w:val="0"/>
        <w:autoSpaceDN w:val="0"/>
        <w:adjustRightInd w:val="0"/>
        <w:spacing w:after="0"/>
        <w:jc w:val="both"/>
        <w:rPr>
          <w:rFonts w:cstheme="minorHAnsi"/>
          <w:lang w:val="en-GB"/>
        </w:rPr>
      </w:pPr>
    </w:p>
    <w:p w14:paraId="2D0BF96A" w14:textId="31B2C0F9" w:rsidR="003471C4" w:rsidRPr="006F5716" w:rsidRDefault="00D1714A" w:rsidP="006F5716">
      <w:pPr>
        <w:autoSpaceDE w:val="0"/>
        <w:autoSpaceDN w:val="0"/>
        <w:adjustRightInd w:val="0"/>
        <w:spacing w:after="0"/>
        <w:jc w:val="both"/>
        <w:rPr>
          <w:rFonts w:cstheme="minorHAnsi"/>
          <w:lang w:val="en-GB"/>
        </w:rPr>
      </w:pPr>
      <w:r>
        <w:rPr>
          <w:rFonts w:cstheme="minorHAnsi"/>
          <w:lang w:val="en-GB"/>
        </w:rPr>
        <w:t>Against this background</w:t>
      </w:r>
      <w:r w:rsidR="002450E3" w:rsidRPr="006F5716">
        <w:rPr>
          <w:rFonts w:cstheme="minorHAnsi"/>
          <w:lang w:val="en-GB"/>
        </w:rPr>
        <w:t>,</w:t>
      </w:r>
      <w:r w:rsidR="00327E49" w:rsidRPr="006F5716">
        <w:rPr>
          <w:rFonts w:cstheme="minorHAnsi"/>
          <w:lang w:val="en-GB"/>
        </w:rPr>
        <w:t xml:space="preserve"> the CPMR Islands Commission convened a seminar </w:t>
      </w:r>
      <w:r>
        <w:rPr>
          <w:rFonts w:cstheme="minorHAnsi"/>
          <w:lang w:val="en-GB"/>
        </w:rPr>
        <w:t xml:space="preserve">in 2012 </w:t>
      </w:r>
      <w:r w:rsidR="00327E49" w:rsidRPr="006F5716">
        <w:rPr>
          <w:rFonts w:cstheme="minorHAnsi"/>
          <w:lang w:val="en-GB"/>
        </w:rPr>
        <w:t xml:space="preserve">to consider the integration of Europe’s islands into EU Cohesion Policy 2014-2020. </w:t>
      </w:r>
      <w:r>
        <w:rPr>
          <w:rFonts w:cstheme="minorHAnsi"/>
          <w:lang w:val="en-GB"/>
        </w:rPr>
        <w:t xml:space="preserve">One of the salient conclusions reached concerned the need for a flexible application of </w:t>
      </w:r>
      <w:r w:rsidR="00327E49" w:rsidRPr="006F5716">
        <w:rPr>
          <w:rFonts w:cstheme="minorHAnsi"/>
          <w:lang w:val="en-GB"/>
        </w:rPr>
        <w:t xml:space="preserve">State Aid rules </w:t>
      </w:r>
      <w:r>
        <w:rPr>
          <w:rFonts w:cstheme="minorHAnsi"/>
          <w:lang w:val="en-GB"/>
        </w:rPr>
        <w:t>with respect to island territories</w:t>
      </w:r>
      <w:r w:rsidR="00E15175" w:rsidRPr="006F5716">
        <w:rPr>
          <w:rStyle w:val="FootnoteReference"/>
          <w:rFonts w:cstheme="minorHAnsi"/>
          <w:sz w:val="22"/>
          <w:lang w:val="en-GB"/>
        </w:rPr>
        <w:footnoteReference w:id="18"/>
      </w:r>
      <w:r w:rsidR="00327E49" w:rsidRPr="006F5716">
        <w:rPr>
          <w:rFonts w:cstheme="minorHAnsi"/>
          <w:lang w:val="en-GB"/>
        </w:rPr>
        <w:t>.</w:t>
      </w:r>
      <w:r w:rsidR="004D67B0" w:rsidRPr="006F5716">
        <w:rPr>
          <w:rFonts w:cstheme="minorHAnsi"/>
          <w:lang w:val="en-GB"/>
        </w:rPr>
        <w:t xml:space="preserve"> </w:t>
      </w:r>
      <w:r w:rsidR="007B37A0">
        <w:rPr>
          <w:rFonts w:cstheme="minorHAnsi"/>
          <w:lang w:val="en-GB"/>
        </w:rPr>
        <w:t xml:space="preserve">In particular, </w:t>
      </w:r>
      <w:r w:rsidR="00E15175">
        <w:rPr>
          <w:rFonts w:cstheme="minorHAnsi"/>
          <w:lang w:val="en-GB"/>
        </w:rPr>
        <w:t>t</w:t>
      </w:r>
      <w:r w:rsidR="006F528F" w:rsidRPr="006F5716">
        <w:rPr>
          <w:rFonts w:cstheme="minorHAnsi"/>
          <w:lang w:val="en-GB"/>
        </w:rPr>
        <w:t>he CPMR h</w:t>
      </w:r>
      <w:r w:rsidR="00E15175">
        <w:rPr>
          <w:rFonts w:cstheme="minorHAnsi"/>
          <w:lang w:val="en-GB"/>
        </w:rPr>
        <w:t>ad</w:t>
      </w:r>
      <w:r w:rsidR="006F528F" w:rsidRPr="006F5716">
        <w:rPr>
          <w:rFonts w:cstheme="minorHAnsi"/>
          <w:lang w:val="en-GB"/>
        </w:rPr>
        <w:t xml:space="preserve"> </w:t>
      </w:r>
      <w:r w:rsidR="00E15175">
        <w:rPr>
          <w:rFonts w:cstheme="minorHAnsi"/>
          <w:lang w:val="en-GB"/>
        </w:rPr>
        <w:t>to r</w:t>
      </w:r>
      <w:r w:rsidR="006F528F" w:rsidRPr="006F5716">
        <w:rPr>
          <w:rFonts w:cstheme="minorHAnsi"/>
          <w:lang w:val="en-GB"/>
        </w:rPr>
        <w:t>ais</w:t>
      </w:r>
      <w:r w:rsidR="00E15175">
        <w:rPr>
          <w:rFonts w:cstheme="minorHAnsi"/>
          <w:lang w:val="en-GB"/>
        </w:rPr>
        <w:t>e</w:t>
      </w:r>
      <w:r w:rsidR="006F528F" w:rsidRPr="006F5716">
        <w:rPr>
          <w:rFonts w:cstheme="minorHAnsi"/>
          <w:lang w:val="en-GB"/>
        </w:rPr>
        <w:t xml:space="preserve"> the de minimis ceiling from €200,000 to </w:t>
      </w:r>
      <w:r w:rsidR="007D4058" w:rsidRPr="006F5716">
        <w:rPr>
          <w:rFonts w:cstheme="minorHAnsi"/>
          <w:lang w:val="en-GB"/>
        </w:rPr>
        <w:t>€</w:t>
      </w:r>
      <w:r w:rsidR="006F528F" w:rsidRPr="006F5716">
        <w:rPr>
          <w:rFonts w:cstheme="minorHAnsi"/>
          <w:lang w:val="en-GB"/>
        </w:rPr>
        <w:t>500,000 per three</w:t>
      </w:r>
      <w:r w:rsidR="007354DE" w:rsidRPr="006F5716">
        <w:rPr>
          <w:rFonts w:cstheme="minorHAnsi"/>
          <w:lang w:val="en-GB"/>
        </w:rPr>
        <w:t>-</w:t>
      </w:r>
      <w:r w:rsidR="006F528F" w:rsidRPr="006F5716">
        <w:rPr>
          <w:rFonts w:cstheme="minorHAnsi"/>
          <w:lang w:val="en-GB"/>
        </w:rPr>
        <w:t xml:space="preserve">year period </w:t>
      </w:r>
      <w:r w:rsidR="00E15175">
        <w:rPr>
          <w:rFonts w:cstheme="minorHAnsi"/>
          <w:lang w:val="en-GB"/>
        </w:rPr>
        <w:t xml:space="preserve">in the case of business on islands </w:t>
      </w:r>
      <w:r w:rsidR="006F528F" w:rsidRPr="006F5716">
        <w:rPr>
          <w:rFonts w:cstheme="minorHAnsi"/>
          <w:lang w:val="en-GB"/>
        </w:rPr>
        <w:t xml:space="preserve">to take into account the </w:t>
      </w:r>
      <w:r w:rsidR="00E15175">
        <w:rPr>
          <w:rFonts w:cstheme="minorHAnsi"/>
          <w:lang w:val="en-GB"/>
        </w:rPr>
        <w:t xml:space="preserve">additional </w:t>
      </w:r>
      <w:r w:rsidR="006F528F" w:rsidRPr="006F5716">
        <w:rPr>
          <w:rFonts w:cstheme="minorHAnsi"/>
          <w:lang w:val="en-GB"/>
        </w:rPr>
        <w:t xml:space="preserve">costs </w:t>
      </w:r>
      <w:r w:rsidR="00E15175">
        <w:rPr>
          <w:rFonts w:cstheme="minorHAnsi"/>
          <w:lang w:val="en-GB"/>
        </w:rPr>
        <w:t>of doing business that arise from</w:t>
      </w:r>
      <w:r w:rsidR="006F528F" w:rsidRPr="006F5716">
        <w:rPr>
          <w:rFonts w:cstheme="minorHAnsi"/>
          <w:lang w:val="en-GB"/>
        </w:rPr>
        <w:t xml:space="preserve"> insularity</w:t>
      </w:r>
      <w:r w:rsidR="00E15175">
        <w:rPr>
          <w:rStyle w:val="FootnoteReference"/>
          <w:rFonts w:cstheme="minorHAnsi"/>
          <w:lang w:val="en-GB"/>
        </w:rPr>
        <w:footnoteReference w:id="19"/>
      </w:r>
      <w:r w:rsidR="00E15175">
        <w:rPr>
          <w:rFonts w:cstheme="minorHAnsi"/>
          <w:lang w:val="en-GB"/>
        </w:rPr>
        <w:t xml:space="preserve">. </w:t>
      </w:r>
      <w:r w:rsidR="00327E49" w:rsidRPr="006F5716">
        <w:rPr>
          <w:rFonts w:cstheme="minorHAnsi"/>
          <w:lang w:val="en-GB"/>
        </w:rPr>
        <w:t>I</w:t>
      </w:r>
      <w:r w:rsidR="002C4818" w:rsidRPr="006F5716">
        <w:rPr>
          <w:rFonts w:cstheme="minorHAnsi"/>
          <w:lang w:val="en-GB"/>
        </w:rPr>
        <w:t xml:space="preserve">n 2017, the technical paper of the CPMR Islands Commission entitled ‘Perspectives of Islands Commission Action on State Aid’, </w:t>
      </w:r>
      <w:r w:rsidR="002450E3" w:rsidRPr="006F5716">
        <w:rPr>
          <w:rFonts w:cstheme="minorHAnsi"/>
          <w:lang w:val="en-GB"/>
        </w:rPr>
        <w:t>has proposed the establishment of differentiated de minimis ceilings depending on the nature of the territories</w:t>
      </w:r>
      <w:r w:rsidR="00F01EF0">
        <w:rPr>
          <w:rFonts w:cstheme="minorHAnsi"/>
          <w:lang w:val="en-GB"/>
        </w:rPr>
        <w:t xml:space="preserve"> (</w:t>
      </w:r>
      <w:r w:rsidR="00F01EF0">
        <w:t>CPMR Islands Commission</w:t>
      </w:r>
      <w:r w:rsidR="00F01EF0">
        <w:rPr>
          <w:lang w:val="en-GB"/>
        </w:rPr>
        <w:t xml:space="preserve">, </w:t>
      </w:r>
      <w:r w:rsidR="00F01EF0">
        <w:t>2017)</w:t>
      </w:r>
      <w:r w:rsidR="002450E3" w:rsidRPr="006F5716">
        <w:rPr>
          <w:rFonts w:cstheme="minorHAnsi"/>
          <w:lang w:val="en-GB"/>
        </w:rPr>
        <w:t>. Higher ceilings would be allowed in territories suffering from severe and permanent handicaps, without the operation of the EU's internal market being disrupted, helping instead to create more equal opportunities between those industries having to cope with specific territorial constraints and others.</w:t>
      </w:r>
      <w:r w:rsidR="003471C4" w:rsidRPr="006F5716">
        <w:rPr>
          <w:rFonts w:cstheme="minorHAnsi"/>
          <w:lang w:val="en-GB"/>
        </w:rPr>
        <w:t xml:space="preserve"> </w:t>
      </w:r>
    </w:p>
    <w:p w14:paraId="3033089B" w14:textId="77777777" w:rsidR="003471C4" w:rsidRPr="006F5716" w:rsidRDefault="003471C4" w:rsidP="006F5716">
      <w:pPr>
        <w:autoSpaceDE w:val="0"/>
        <w:autoSpaceDN w:val="0"/>
        <w:adjustRightInd w:val="0"/>
        <w:spacing w:after="0"/>
        <w:jc w:val="both"/>
        <w:rPr>
          <w:rFonts w:cstheme="minorHAnsi"/>
          <w:lang w:val="en-GB"/>
        </w:rPr>
      </w:pPr>
    </w:p>
    <w:p w14:paraId="374885E2" w14:textId="582715AE" w:rsidR="002450E3" w:rsidRPr="006F5716" w:rsidRDefault="003471C4" w:rsidP="006F5716">
      <w:pPr>
        <w:autoSpaceDE w:val="0"/>
        <w:autoSpaceDN w:val="0"/>
        <w:adjustRightInd w:val="0"/>
        <w:spacing w:after="0"/>
        <w:jc w:val="both"/>
        <w:rPr>
          <w:rFonts w:cstheme="minorHAnsi"/>
          <w:lang w:val="en-GB"/>
        </w:rPr>
      </w:pPr>
      <w:r w:rsidRPr="006F5716">
        <w:rPr>
          <w:rFonts w:cstheme="minorHAnsi"/>
          <w:lang w:val="en-GB"/>
        </w:rPr>
        <w:t xml:space="preserve">The CPMR </w:t>
      </w:r>
      <w:r w:rsidR="00E15175">
        <w:rPr>
          <w:rFonts w:cstheme="minorHAnsi"/>
          <w:lang w:val="en-GB"/>
        </w:rPr>
        <w:t xml:space="preserve">proposals </w:t>
      </w:r>
      <w:r w:rsidRPr="006F5716">
        <w:rPr>
          <w:rFonts w:cstheme="minorHAnsi"/>
          <w:lang w:val="en-GB"/>
        </w:rPr>
        <w:t xml:space="preserve">highlights that economic fabric in islands relies on small and medium sized companies. De minimis aid is considered to be one of the instruments best suited to meeting the needs of the islands, especially since the amount of funding required by island SMEs is generally proportional to their small size. Conversely, the Commission has </w:t>
      </w:r>
      <w:r w:rsidR="00E15175">
        <w:rPr>
          <w:rFonts w:cstheme="minorHAnsi"/>
          <w:lang w:val="en-GB"/>
        </w:rPr>
        <w:t xml:space="preserve">downplayed the importance of the de minimis proposal by arguing </w:t>
      </w:r>
      <w:r w:rsidRPr="006F5716">
        <w:rPr>
          <w:rFonts w:cstheme="minorHAnsi"/>
          <w:lang w:val="en-GB"/>
        </w:rPr>
        <w:t xml:space="preserve"> that the current ceiling of €200,000 is only rarely reached and increasing it "would entail significant risks for competition and trade in the single market"</w:t>
      </w:r>
      <w:r w:rsidR="00D2080D">
        <w:rPr>
          <w:rFonts w:cstheme="minorHAnsi"/>
          <w:lang w:val="en-GB"/>
        </w:rPr>
        <w:t xml:space="preserve"> (</w:t>
      </w:r>
      <w:r w:rsidR="00073E41">
        <w:rPr>
          <w:rFonts w:cstheme="minorHAnsi"/>
          <w:lang w:val="en-GB"/>
        </w:rPr>
        <w:t xml:space="preserve">European Commission Press Release, 2013 and </w:t>
      </w:r>
      <w:r w:rsidR="00D2080D">
        <w:rPr>
          <w:rFonts w:cstheme="minorHAnsi"/>
          <w:lang w:val="en-GB"/>
        </w:rPr>
        <w:t>CPMR Islands Commission, 2017)</w:t>
      </w:r>
      <w:r w:rsidR="00E15175">
        <w:rPr>
          <w:rFonts w:cstheme="minorHAnsi"/>
          <w:lang w:val="en-GB"/>
        </w:rPr>
        <w:t>.</w:t>
      </w:r>
    </w:p>
    <w:p w14:paraId="5064CC2F" w14:textId="77777777" w:rsidR="006F528F" w:rsidRPr="006F5716" w:rsidRDefault="006F528F" w:rsidP="006F5716">
      <w:pPr>
        <w:autoSpaceDE w:val="0"/>
        <w:autoSpaceDN w:val="0"/>
        <w:adjustRightInd w:val="0"/>
        <w:spacing w:after="0"/>
        <w:jc w:val="both"/>
        <w:rPr>
          <w:rFonts w:cstheme="minorHAnsi"/>
          <w:b/>
          <w:bCs/>
          <w:lang w:val="en-GB"/>
        </w:rPr>
      </w:pPr>
    </w:p>
    <w:p w14:paraId="5DEE493D" w14:textId="77777777" w:rsidR="00553EBF" w:rsidRDefault="00E15175" w:rsidP="006F5716">
      <w:pPr>
        <w:autoSpaceDE w:val="0"/>
        <w:autoSpaceDN w:val="0"/>
        <w:adjustRightInd w:val="0"/>
        <w:spacing w:after="0"/>
        <w:jc w:val="both"/>
        <w:rPr>
          <w:rFonts w:cstheme="minorHAnsi"/>
          <w:lang w:val="en-GB"/>
        </w:rPr>
      </w:pPr>
      <w:r>
        <w:rPr>
          <w:rFonts w:cstheme="minorHAnsi"/>
          <w:lang w:val="en-GB"/>
        </w:rPr>
        <w:t xml:space="preserve">This Opinion Paper </w:t>
      </w:r>
      <w:r w:rsidR="00480CE7" w:rsidRPr="006F5716">
        <w:rPr>
          <w:rFonts w:cstheme="minorHAnsi"/>
          <w:lang w:val="en-GB"/>
        </w:rPr>
        <w:t>propose</w:t>
      </w:r>
      <w:r>
        <w:rPr>
          <w:rFonts w:cstheme="minorHAnsi"/>
          <w:lang w:val="en-GB"/>
        </w:rPr>
        <w:t>s a</w:t>
      </w:r>
      <w:r w:rsidR="00480CE7" w:rsidRPr="006F5716">
        <w:rPr>
          <w:rFonts w:cstheme="minorHAnsi"/>
          <w:lang w:val="en-GB"/>
        </w:rPr>
        <w:t xml:space="preserve"> </w:t>
      </w:r>
      <w:r w:rsidR="00D95388" w:rsidRPr="006F5716">
        <w:rPr>
          <w:rFonts w:cstheme="minorHAnsi"/>
          <w:lang w:val="en-GB"/>
        </w:rPr>
        <w:t>w</w:t>
      </w:r>
      <w:r w:rsidR="00480CE7" w:rsidRPr="006F5716">
        <w:rPr>
          <w:rFonts w:cstheme="minorHAnsi"/>
          <w:lang w:val="en-GB"/>
        </w:rPr>
        <w:t xml:space="preserve">ay </w:t>
      </w:r>
      <w:r w:rsidR="002C4818" w:rsidRPr="006F5716">
        <w:rPr>
          <w:rFonts w:cstheme="minorHAnsi"/>
          <w:lang w:val="en-GB"/>
        </w:rPr>
        <w:t>f</w:t>
      </w:r>
      <w:r w:rsidR="00480CE7" w:rsidRPr="006F5716">
        <w:rPr>
          <w:rFonts w:cstheme="minorHAnsi"/>
          <w:lang w:val="en-GB"/>
        </w:rPr>
        <w:t xml:space="preserve">orward </w:t>
      </w:r>
      <w:r w:rsidR="00553EBF">
        <w:rPr>
          <w:rFonts w:cstheme="minorHAnsi"/>
          <w:lang w:val="en-GB"/>
        </w:rPr>
        <w:t>in this regard by:</w:t>
      </w:r>
    </w:p>
    <w:p w14:paraId="3F60D7EF" w14:textId="58EBB822" w:rsidR="00553EBF" w:rsidRDefault="00553EBF" w:rsidP="00553EBF">
      <w:pPr>
        <w:pStyle w:val="ListParagraph"/>
        <w:numPr>
          <w:ilvl w:val="0"/>
          <w:numId w:val="13"/>
        </w:numPr>
        <w:autoSpaceDE w:val="0"/>
        <w:autoSpaceDN w:val="0"/>
        <w:adjustRightInd w:val="0"/>
        <w:spacing w:after="0"/>
        <w:jc w:val="both"/>
        <w:rPr>
          <w:rFonts w:cstheme="minorHAnsi"/>
          <w:lang w:val="en-GB"/>
        </w:rPr>
      </w:pPr>
      <w:r>
        <w:rPr>
          <w:rFonts w:cstheme="minorHAnsi"/>
          <w:lang w:val="en-GB"/>
        </w:rPr>
        <w:t>providing a technical justification for the need for a higher de minimis amount of business operating on islands, founded on business and regional statistics data published by Eurostat;</w:t>
      </w:r>
    </w:p>
    <w:p w14:paraId="08DF8C4E" w14:textId="18804FB8" w:rsidR="00553EBF" w:rsidRDefault="00553EBF" w:rsidP="00553EBF">
      <w:pPr>
        <w:pStyle w:val="ListParagraph"/>
        <w:numPr>
          <w:ilvl w:val="0"/>
          <w:numId w:val="13"/>
        </w:numPr>
        <w:autoSpaceDE w:val="0"/>
        <w:autoSpaceDN w:val="0"/>
        <w:adjustRightInd w:val="0"/>
        <w:spacing w:after="0"/>
        <w:jc w:val="both"/>
        <w:rPr>
          <w:rFonts w:cstheme="minorHAnsi"/>
          <w:lang w:val="en-GB"/>
        </w:rPr>
      </w:pPr>
      <w:r>
        <w:rPr>
          <w:rFonts w:cstheme="minorHAnsi"/>
          <w:lang w:val="en-GB"/>
        </w:rPr>
        <w:t>extending the implementation framework of the increased de minimis amount for islands to ensure the achievement of the intended objectives of the measure while minimising the potential for EU market distortion.</w:t>
      </w:r>
    </w:p>
    <w:p w14:paraId="533F9FCD" w14:textId="77777777" w:rsidR="00553EBF" w:rsidRDefault="00553EBF" w:rsidP="00553EBF">
      <w:pPr>
        <w:autoSpaceDE w:val="0"/>
        <w:autoSpaceDN w:val="0"/>
        <w:adjustRightInd w:val="0"/>
        <w:spacing w:after="0"/>
        <w:jc w:val="both"/>
        <w:rPr>
          <w:rFonts w:cstheme="minorHAnsi"/>
          <w:lang w:val="en-GB"/>
        </w:rPr>
      </w:pPr>
    </w:p>
    <w:p w14:paraId="09477D5C" w14:textId="4C8DBA8E" w:rsidR="00480CE7" w:rsidRPr="00553EBF" w:rsidRDefault="00553EBF" w:rsidP="00553EBF">
      <w:pPr>
        <w:autoSpaceDE w:val="0"/>
        <w:autoSpaceDN w:val="0"/>
        <w:adjustRightInd w:val="0"/>
        <w:spacing w:after="0"/>
        <w:jc w:val="both"/>
        <w:rPr>
          <w:rFonts w:cstheme="minorHAnsi"/>
          <w:lang w:val="en-GB"/>
        </w:rPr>
      </w:pPr>
      <w:r>
        <w:rPr>
          <w:rFonts w:cstheme="minorHAnsi"/>
          <w:lang w:val="en-GB"/>
        </w:rPr>
        <w:t xml:space="preserve">Towards this end, </w:t>
      </w:r>
      <w:r w:rsidR="00480CE7" w:rsidRPr="00553EBF">
        <w:rPr>
          <w:rFonts w:cstheme="minorHAnsi"/>
          <w:lang w:val="en-GB"/>
        </w:rPr>
        <w:t xml:space="preserve">a review </w:t>
      </w:r>
      <w:r w:rsidR="007D7B76" w:rsidRPr="00553EBF">
        <w:rPr>
          <w:rFonts w:cstheme="minorHAnsi"/>
          <w:lang w:val="en-GB"/>
        </w:rPr>
        <w:t xml:space="preserve">State Aid rules </w:t>
      </w:r>
      <w:r>
        <w:rPr>
          <w:rFonts w:cstheme="minorHAnsi"/>
          <w:lang w:val="en-GB"/>
        </w:rPr>
        <w:t xml:space="preserve">is hereby proposed whereby, </w:t>
      </w:r>
      <w:r w:rsidR="00480CE7" w:rsidRPr="00553EBF">
        <w:rPr>
          <w:rFonts w:cstheme="minorHAnsi"/>
          <w:lang w:val="en-GB"/>
        </w:rPr>
        <w:t>specifically for islands</w:t>
      </w:r>
      <w:r>
        <w:rPr>
          <w:rFonts w:cstheme="minorHAnsi"/>
          <w:lang w:val="en-GB"/>
        </w:rPr>
        <w:t>,</w:t>
      </w:r>
      <w:r w:rsidR="00480CE7" w:rsidRPr="00553EBF">
        <w:rPr>
          <w:rFonts w:cstheme="minorHAnsi"/>
          <w:lang w:val="en-GB"/>
        </w:rPr>
        <w:t xml:space="preserve"> the </w:t>
      </w:r>
      <w:r w:rsidR="007D7B76" w:rsidRPr="00D658E4">
        <w:rPr>
          <w:rFonts w:cstheme="minorHAnsi"/>
          <w:lang w:val="en-GB"/>
        </w:rPr>
        <w:t xml:space="preserve">de minimis amount </w:t>
      </w:r>
      <w:r w:rsidRPr="00D658E4">
        <w:rPr>
          <w:rFonts w:cstheme="minorHAnsi"/>
          <w:lang w:val="en-GB"/>
        </w:rPr>
        <w:t>is increased from €200,000 to €500,000</w:t>
      </w:r>
      <w:r>
        <w:rPr>
          <w:rFonts w:cstheme="minorHAnsi"/>
          <w:lang w:val="en-GB"/>
        </w:rPr>
        <w:t>, subject to the following provisions.</w:t>
      </w:r>
    </w:p>
    <w:p w14:paraId="21DC57DB" w14:textId="33C7564D" w:rsidR="00480CE7" w:rsidRPr="00553EBF" w:rsidRDefault="00553EBF" w:rsidP="00553EBF">
      <w:pPr>
        <w:pStyle w:val="ListParagraph"/>
        <w:numPr>
          <w:ilvl w:val="1"/>
          <w:numId w:val="1"/>
        </w:numPr>
        <w:autoSpaceDE w:val="0"/>
        <w:autoSpaceDN w:val="0"/>
        <w:adjustRightInd w:val="0"/>
        <w:spacing w:after="0"/>
        <w:ind w:left="709" w:hanging="306"/>
        <w:jc w:val="both"/>
        <w:rPr>
          <w:rFonts w:cstheme="minorHAnsi"/>
          <w:lang w:val="en-GB"/>
        </w:rPr>
      </w:pPr>
      <w:r>
        <w:rPr>
          <w:rFonts w:cstheme="minorHAnsi"/>
          <w:lang w:val="en-GB"/>
        </w:rPr>
        <w:t xml:space="preserve">Business benefitting from the increased de minimis amount would be involved in activities, either through output produced or inputs utilised, which would contribute to enhance the performance of the island in which they are located with respect to one or more of the following themes: </w:t>
      </w:r>
      <w:r w:rsidR="007D7B76" w:rsidRPr="00553EBF">
        <w:rPr>
          <w:rFonts w:cstheme="minorHAnsi"/>
          <w:lang w:val="en-GB"/>
        </w:rPr>
        <w:t>Creativity</w:t>
      </w:r>
      <w:r w:rsidR="00480CE7" w:rsidRPr="00553EBF">
        <w:rPr>
          <w:rFonts w:cstheme="minorHAnsi"/>
          <w:lang w:val="en-GB"/>
        </w:rPr>
        <w:t xml:space="preserve"> and Innovation</w:t>
      </w:r>
      <w:r w:rsidRPr="00553EBF">
        <w:rPr>
          <w:rFonts w:cstheme="minorHAnsi"/>
          <w:lang w:val="en-GB"/>
        </w:rPr>
        <w:t xml:space="preserve"> (including activities aimed at valorising and commercialising traditional skills, products and cultural heritage)</w:t>
      </w:r>
      <w:r w:rsidR="007D7B76" w:rsidRPr="00553EBF">
        <w:rPr>
          <w:rFonts w:cstheme="minorHAnsi"/>
          <w:lang w:val="en-GB"/>
        </w:rPr>
        <w:t xml:space="preserve">; Sustainable </w:t>
      </w:r>
      <w:r w:rsidRPr="00553EBF">
        <w:rPr>
          <w:rFonts w:cstheme="minorHAnsi"/>
          <w:lang w:val="en-GB"/>
        </w:rPr>
        <w:t>T</w:t>
      </w:r>
      <w:r w:rsidR="007D7B76" w:rsidRPr="00553EBF">
        <w:rPr>
          <w:rFonts w:cstheme="minorHAnsi"/>
          <w:lang w:val="en-GB"/>
        </w:rPr>
        <w:t xml:space="preserve">ourism; Clean </w:t>
      </w:r>
      <w:r w:rsidRPr="00553EBF">
        <w:rPr>
          <w:rFonts w:cstheme="minorHAnsi"/>
          <w:lang w:val="en-GB"/>
        </w:rPr>
        <w:t>E</w:t>
      </w:r>
      <w:r w:rsidR="007D7B76" w:rsidRPr="00553EBF">
        <w:rPr>
          <w:rFonts w:cstheme="minorHAnsi"/>
          <w:lang w:val="en-GB"/>
        </w:rPr>
        <w:t>nergy; New</w:t>
      </w:r>
      <w:r>
        <w:rPr>
          <w:rFonts w:cstheme="minorHAnsi"/>
          <w:lang w:val="en-GB"/>
        </w:rPr>
        <w:t>-to-Island</w:t>
      </w:r>
      <w:r w:rsidR="007D7B76" w:rsidRPr="00553EBF">
        <w:rPr>
          <w:rFonts w:cstheme="minorHAnsi"/>
          <w:lang w:val="en-GB"/>
        </w:rPr>
        <w:t xml:space="preserve"> Mobility</w:t>
      </w:r>
      <w:r>
        <w:rPr>
          <w:rFonts w:cstheme="minorHAnsi"/>
          <w:lang w:val="en-GB"/>
        </w:rPr>
        <w:t>;</w:t>
      </w:r>
      <w:r w:rsidR="00480CE7" w:rsidRPr="00553EBF">
        <w:rPr>
          <w:rFonts w:cstheme="minorHAnsi"/>
          <w:lang w:val="en-GB"/>
        </w:rPr>
        <w:t xml:space="preserve"> </w:t>
      </w:r>
      <w:r w:rsidR="007D7B76" w:rsidRPr="00553EBF">
        <w:rPr>
          <w:rFonts w:cstheme="minorHAnsi"/>
          <w:lang w:val="en-GB"/>
        </w:rPr>
        <w:t>Social Enterprise</w:t>
      </w:r>
      <w:r w:rsidR="00480CE7" w:rsidRPr="00553EBF">
        <w:rPr>
          <w:rFonts w:cstheme="minorHAnsi"/>
          <w:lang w:val="en-GB"/>
        </w:rPr>
        <w:t>s</w:t>
      </w:r>
      <w:r w:rsidR="00C77289" w:rsidRPr="00553EBF">
        <w:rPr>
          <w:rFonts w:cstheme="minorHAnsi"/>
          <w:lang w:val="en-GB"/>
        </w:rPr>
        <w:t>.</w:t>
      </w:r>
      <w:r w:rsidR="00480CE7" w:rsidRPr="00553EBF">
        <w:rPr>
          <w:rFonts w:cstheme="minorHAnsi"/>
          <w:lang w:val="en-GB"/>
        </w:rPr>
        <w:t xml:space="preserve"> </w:t>
      </w:r>
    </w:p>
    <w:p w14:paraId="42DD0887" w14:textId="5F508EC3" w:rsidR="00480CE7" w:rsidRDefault="00094196" w:rsidP="00553EBF">
      <w:pPr>
        <w:pStyle w:val="ListParagraph"/>
        <w:numPr>
          <w:ilvl w:val="1"/>
          <w:numId w:val="1"/>
        </w:numPr>
        <w:autoSpaceDE w:val="0"/>
        <w:autoSpaceDN w:val="0"/>
        <w:adjustRightInd w:val="0"/>
        <w:spacing w:after="0"/>
        <w:ind w:left="709" w:hanging="306"/>
        <w:jc w:val="both"/>
        <w:rPr>
          <w:rFonts w:cstheme="minorHAnsi"/>
          <w:lang w:val="en-GB"/>
        </w:rPr>
      </w:pPr>
      <w:r>
        <w:rPr>
          <w:rFonts w:cstheme="minorHAnsi"/>
          <w:lang w:val="en-GB"/>
        </w:rPr>
        <w:t xml:space="preserve">The increased de minimis amount </w:t>
      </w:r>
      <w:r w:rsidR="007D7B76" w:rsidRPr="006F5716">
        <w:rPr>
          <w:rFonts w:cstheme="minorHAnsi"/>
          <w:lang w:val="en-GB"/>
        </w:rPr>
        <w:t xml:space="preserve">is operated in a </w:t>
      </w:r>
      <w:r w:rsidR="007D7B76" w:rsidRPr="00D658E4">
        <w:rPr>
          <w:rFonts w:cstheme="minorHAnsi"/>
          <w:lang w:val="en-GB"/>
        </w:rPr>
        <w:t>tapered manner to individual business</w:t>
      </w:r>
      <w:r w:rsidR="00230F40" w:rsidRPr="00D658E4">
        <w:rPr>
          <w:rFonts w:cstheme="minorHAnsi"/>
          <w:lang w:val="en-GB"/>
        </w:rPr>
        <w:t>es, allowing an amount of</w:t>
      </w:r>
      <w:r w:rsidR="007D7B76" w:rsidRPr="00D658E4">
        <w:rPr>
          <w:rFonts w:cstheme="minorHAnsi"/>
          <w:lang w:val="en-GB"/>
        </w:rPr>
        <w:t xml:space="preserve"> </w:t>
      </w:r>
      <w:r w:rsidR="00480CE7" w:rsidRPr="00D658E4">
        <w:rPr>
          <w:rFonts w:cstheme="minorHAnsi"/>
          <w:lang w:val="en-GB"/>
        </w:rPr>
        <w:t>€</w:t>
      </w:r>
      <w:r w:rsidR="00D078AD" w:rsidRPr="00D658E4">
        <w:rPr>
          <w:rFonts w:cstheme="minorHAnsi"/>
          <w:lang w:val="en-GB"/>
        </w:rPr>
        <w:t>5</w:t>
      </w:r>
      <w:r w:rsidR="007D7B76" w:rsidRPr="00D658E4">
        <w:rPr>
          <w:rFonts w:cstheme="minorHAnsi"/>
          <w:lang w:val="en-GB"/>
        </w:rPr>
        <w:t>00</w:t>
      </w:r>
      <w:r w:rsidR="00480CE7" w:rsidRPr="00D658E4">
        <w:rPr>
          <w:rFonts w:cstheme="minorHAnsi"/>
          <w:lang w:val="en-GB"/>
        </w:rPr>
        <w:t>,000</w:t>
      </w:r>
      <w:r w:rsidR="007D7B76" w:rsidRPr="00D658E4">
        <w:rPr>
          <w:rFonts w:cstheme="minorHAnsi"/>
          <w:lang w:val="en-GB"/>
        </w:rPr>
        <w:t xml:space="preserve"> for the first three rolling years, </w:t>
      </w:r>
      <w:r w:rsidR="00480CE7" w:rsidRPr="00D658E4">
        <w:rPr>
          <w:rFonts w:cstheme="minorHAnsi"/>
          <w:lang w:val="en-GB"/>
        </w:rPr>
        <w:t>€</w:t>
      </w:r>
      <w:r w:rsidR="00D078AD" w:rsidRPr="00D658E4">
        <w:rPr>
          <w:rFonts w:cstheme="minorHAnsi"/>
          <w:lang w:val="en-GB"/>
        </w:rPr>
        <w:t>35</w:t>
      </w:r>
      <w:r w:rsidR="007D7B76" w:rsidRPr="00D658E4">
        <w:rPr>
          <w:rFonts w:cstheme="minorHAnsi"/>
          <w:lang w:val="en-GB"/>
        </w:rPr>
        <w:t>0</w:t>
      </w:r>
      <w:r w:rsidR="00480CE7" w:rsidRPr="00D658E4">
        <w:rPr>
          <w:rFonts w:cstheme="minorHAnsi"/>
          <w:lang w:val="en-GB"/>
        </w:rPr>
        <w:t>,000</w:t>
      </w:r>
      <w:r w:rsidR="007D7B76" w:rsidRPr="00D658E4">
        <w:rPr>
          <w:rFonts w:cstheme="minorHAnsi"/>
          <w:lang w:val="en-GB"/>
        </w:rPr>
        <w:t xml:space="preserve"> for the next</w:t>
      </w:r>
      <w:r w:rsidR="002450E3" w:rsidRPr="00D658E4">
        <w:rPr>
          <w:rFonts w:cstheme="minorHAnsi"/>
          <w:lang w:val="en-GB"/>
        </w:rPr>
        <w:t xml:space="preserve"> three-year period</w:t>
      </w:r>
      <w:r w:rsidR="007D7B76" w:rsidRPr="00D658E4">
        <w:rPr>
          <w:rFonts w:cstheme="minorHAnsi"/>
          <w:lang w:val="en-GB"/>
        </w:rPr>
        <w:t xml:space="preserve">, </w:t>
      </w:r>
      <w:r w:rsidR="00553EBF" w:rsidRPr="00D658E4">
        <w:rPr>
          <w:rFonts w:cstheme="minorHAnsi"/>
          <w:lang w:val="en-GB"/>
        </w:rPr>
        <w:t>until reaching</w:t>
      </w:r>
      <w:r w:rsidR="007D7B76" w:rsidRPr="00D658E4">
        <w:rPr>
          <w:rFonts w:cstheme="minorHAnsi"/>
          <w:lang w:val="en-GB"/>
        </w:rPr>
        <w:t xml:space="preserve"> the statutory </w:t>
      </w:r>
      <w:r w:rsidR="00553EBF" w:rsidRPr="00D658E4">
        <w:rPr>
          <w:rFonts w:cstheme="minorHAnsi"/>
          <w:lang w:val="en-GB"/>
        </w:rPr>
        <w:t xml:space="preserve">level of </w:t>
      </w:r>
      <w:r w:rsidR="00480CE7" w:rsidRPr="00D658E4">
        <w:rPr>
          <w:rFonts w:cstheme="minorHAnsi"/>
          <w:lang w:val="en-GB"/>
        </w:rPr>
        <w:t>€</w:t>
      </w:r>
      <w:r w:rsidR="007D7B76" w:rsidRPr="00D658E4">
        <w:rPr>
          <w:rFonts w:cstheme="minorHAnsi"/>
          <w:lang w:val="en-GB"/>
        </w:rPr>
        <w:t>200</w:t>
      </w:r>
      <w:r w:rsidR="00480CE7" w:rsidRPr="00D658E4">
        <w:rPr>
          <w:rFonts w:cstheme="minorHAnsi"/>
          <w:lang w:val="en-GB"/>
        </w:rPr>
        <w:t>,000</w:t>
      </w:r>
      <w:r w:rsidR="007D7B76" w:rsidRPr="00D658E4">
        <w:rPr>
          <w:rFonts w:cstheme="minorHAnsi"/>
          <w:lang w:val="en-GB"/>
        </w:rPr>
        <w:t xml:space="preserve"> </w:t>
      </w:r>
      <w:r w:rsidR="00553EBF" w:rsidRPr="00D658E4">
        <w:rPr>
          <w:rFonts w:cstheme="minorHAnsi"/>
          <w:lang w:val="en-GB"/>
        </w:rPr>
        <w:t>thereafter,</w:t>
      </w:r>
      <w:r w:rsidR="00553EBF">
        <w:rPr>
          <w:rFonts w:cstheme="minorHAnsi"/>
          <w:u w:val="single"/>
          <w:lang w:val="en-GB"/>
        </w:rPr>
        <w:t xml:space="preserve"> </w:t>
      </w:r>
      <w:r w:rsidR="007D7B76" w:rsidRPr="006F5716">
        <w:rPr>
          <w:rFonts w:cstheme="minorHAnsi"/>
          <w:lang w:val="en-GB"/>
        </w:rPr>
        <w:t>so as to discourage long term dependence on aid</w:t>
      </w:r>
      <w:r>
        <w:rPr>
          <w:rFonts w:cstheme="minorHAnsi"/>
          <w:lang w:val="en-GB"/>
        </w:rPr>
        <w:t xml:space="preserve"> and encourage activities which neutralise the costs of doing business on islands</w:t>
      </w:r>
      <w:r w:rsidR="00230F40" w:rsidRPr="006F5716">
        <w:rPr>
          <w:rFonts w:cstheme="minorHAnsi"/>
          <w:lang w:val="en-GB"/>
        </w:rPr>
        <w:t xml:space="preserve">. </w:t>
      </w:r>
    </w:p>
    <w:p w14:paraId="3081C11B" w14:textId="228444D1" w:rsidR="00DC6B51" w:rsidRPr="001D5521" w:rsidRDefault="00DC6B51" w:rsidP="00553EBF">
      <w:pPr>
        <w:pStyle w:val="ListParagraph"/>
        <w:numPr>
          <w:ilvl w:val="1"/>
          <w:numId w:val="1"/>
        </w:numPr>
        <w:autoSpaceDE w:val="0"/>
        <w:autoSpaceDN w:val="0"/>
        <w:adjustRightInd w:val="0"/>
        <w:spacing w:after="0"/>
        <w:ind w:left="709" w:hanging="306"/>
        <w:jc w:val="both"/>
        <w:rPr>
          <w:rFonts w:cstheme="minorHAnsi"/>
          <w:lang w:val="en-GB"/>
        </w:rPr>
      </w:pPr>
      <w:r w:rsidRPr="001D5521">
        <w:rPr>
          <w:rFonts w:cstheme="minorHAnsi"/>
          <w:lang w:val="en-GB"/>
        </w:rPr>
        <w:t xml:space="preserve">An eligible business would be entitled, at any point in time, to apply to benefit from the flexible de minimis amount on a tapered basis - it would be eligible to apply again after the expiry of a nine-year period from the first year of </w:t>
      </w:r>
      <w:r w:rsidR="00A53FF2" w:rsidRPr="001D5521">
        <w:rPr>
          <w:rFonts w:cstheme="minorHAnsi"/>
          <w:lang w:val="en-GB"/>
        </w:rPr>
        <w:t>benefitting</w:t>
      </w:r>
      <w:r w:rsidRPr="001D5521">
        <w:rPr>
          <w:rFonts w:cstheme="minorHAnsi"/>
          <w:lang w:val="en-GB"/>
        </w:rPr>
        <w:t xml:space="preserve"> </w:t>
      </w:r>
      <w:r w:rsidR="00A53FF2" w:rsidRPr="001D5521">
        <w:rPr>
          <w:rFonts w:cstheme="minorHAnsi"/>
          <w:lang w:val="en-GB"/>
        </w:rPr>
        <w:t>from</w:t>
      </w:r>
      <w:r w:rsidRPr="001D5521">
        <w:rPr>
          <w:rFonts w:cstheme="minorHAnsi"/>
          <w:lang w:val="en-GB"/>
        </w:rPr>
        <w:t xml:space="preserve"> the maximum </w:t>
      </w:r>
      <w:r w:rsidR="00A53FF2" w:rsidRPr="001D5521">
        <w:rPr>
          <w:rFonts w:cstheme="minorHAnsi"/>
          <w:lang w:val="en-GB"/>
        </w:rPr>
        <w:t xml:space="preserve">de minimis </w:t>
      </w:r>
      <w:r w:rsidRPr="001D5521">
        <w:rPr>
          <w:rFonts w:cstheme="minorHAnsi"/>
          <w:lang w:val="en-GB"/>
        </w:rPr>
        <w:t>limit, to meet the requirements of new investment or changing business environment</w:t>
      </w:r>
      <w:r w:rsidR="00484A51" w:rsidRPr="001D5521">
        <w:rPr>
          <w:rFonts w:cstheme="minorHAnsi"/>
          <w:lang w:val="en-GB"/>
        </w:rPr>
        <w:t>;</w:t>
      </w:r>
    </w:p>
    <w:p w14:paraId="3383485A" w14:textId="65EFB8F4" w:rsidR="00CC7884" w:rsidRPr="001D5521" w:rsidRDefault="00484A51" w:rsidP="00553EBF">
      <w:pPr>
        <w:pStyle w:val="ListParagraph"/>
        <w:numPr>
          <w:ilvl w:val="1"/>
          <w:numId w:val="1"/>
        </w:numPr>
        <w:autoSpaceDE w:val="0"/>
        <w:autoSpaceDN w:val="0"/>
        <w:adjustRightInd w:val="0"/>
        <w:spacing w:after="0"/>
        <w:ind w:left="709" w:hanging="306"/>
        <w:jc w:val="both"/>
        <w:rPr>
          <w:rFonts w:cstheme="minorHAnsi"/>
          <w:lang w:val="en-GB"/>
        </w:rPr>
      </w:pPr>
      <w:r w:rsidRPr="001D5521">
        <w:rPr>
          <w:rFonts w:cstheme="minorHAnsi"/>
          <w:lang w:val="en-GB"/>
        </w:rPr>
        <w:t>In order to enable the building of critical mass and reaping of economies of scale, s</w:t>
      </w:r>
      <w:r w:rsidR="00CC7884" w:rsidRPr="001D5521">
        <w:rPr>
          <w:rFonts w:cstheme="minorHAnsi"/>
          <w:lang w:val="en-GB"/>
        </w:rPr>
        <w:t>eparate businesses with the same ultimate beneficiary owners shall not be subject to the cumulation of aid amounts under one de minimis limit provided that they are contributing to different thematic areas within the list set out in (1) above;</w:t>
      </w:r>
    </w:p>
    <w:p w14:paraId="19B83701" w14:textId="0AB3B219" w:rsidR="007D7B76" w:rsidRPr="00094196" w:rsidRDefault="00094196" w:rsidP="00553EBF">
      <w:pPr>
        <w:pStyle w:val="ListParagraph"/>
        <w:numPr>
          <w:ilvl w:val="1"/>
          <w:numId w:val="1"/>
        </w:numPr>
        <w:autoSpaceDE w:val="0"/>
        <w:autoSpaceDN w:val="0"/>
        <w:adjustRightInd w:val="0"/>
        <w:spacing w:after="0"/>
        <w:ind w:left="709" w:hanging="306"/>
        <w:jc w:val="both"/>
        <w:rPr>
          <w:rFonts w:cstheme="minorHAnsi"/>
          <w:lang w:val="en-GB"/>
        </w:rPr>
      </w:pPr>
      <w:r w:rsidRPr="001D5521">
        <w:rPr>
          <w:rFonts w:cstheme="minorHAnsi"/>
          <w:lang w:val="en-GB"/>
        </w:rPr>
        <w:t>There wou</w:t>
      </w:r>
      <w:r w:rsidRPr="00094196">
        <w:rPr>
          <w:rFonts w:cstheme="minorHAnsi"/>
          <w:lang w:val="en-GB"/>
        </w:rPr>
        <w:t xml:space="preserve">ld be a limit on </w:t>
      </w:r>
      <w:r w:rsidR="007D7B76" w:rsidRPr="00094196">
        <w:rPr>
          <w:rFonts w:cstheme="minorHAnsi"/>
          <w:lang w:val="en-GB"/>
        </w:rPr>
        <w:t xml:space="preserve">in total budget to beneficiary firms </w:t>
      </w:r>
      <w:r w:rsidRPr="00094196">
        <w:rPr>
          <w:rFonts w:cstheme="minorHAnsi"/>
          <w:lang w:val="en-GB"/>
        </w:rPr>
        <w:t>operating on an</w:t>
      </w:r>
      <w:r w:rsidR="007D7B76" w:rsidRPr="00094196">
        <w:rPr>
          <w:rFonts w:cstheme="minorHAnsi"/>
          <w:lang w:val="en-GB"/>
        </w:rPr>
        <w:t xml:space="preserve"> island so as to prevent any undue influence on EU trade, up to </w:t>
      </w:r>
      <w:r w:rsidR="00480CE7" w:rsidRPr="00094196">
        <w:rPr>
          <w:rFonts w:cstheme="minorHAnsi"/>
          <w:lang w:val="en-GB"/>
        </w:rPr>
        <w:t xml:space="preserve">an amount of </w:t>
      </w:r>
      <w:r w:rsidR="00480CE7" w:rsidRPr="00D658E4">
        <w:rPr>
          <w:rFonts w:cstheme="minorHAnsi"/>
          <w:lang w:val="en-GB"/>
        </w:rPr>
        <w:t>€</w:t>
      </w:r>
      <w:r w:rsidR="0029758A" w:rsidRPr="00D658E4">
        <w:rPr>
          <w:rFonts w:cstheme="minorHAnsi"/>
          <w:lang w:val="en-GB"/>
        </w:rPr>
        <w:t>5</w:t>
      </w:r>
      <w:r w:rsidR="00480CE7" w:rsidRPr="00D658E4">
        <w:rPr>
          <w:rFonts w:cstheme="minorHAnsi"/>
          <w:lang w:val="en-GB"/>
        </w:rPr>
        <w:t>,000</w:t>
      </w:r>
      <w:r w:rsidR="00480CE7" w:rsidRPr="00094196">
        <w:rPr>
          <w:rFonts w:cstheme="minorHAnsi"/>
          <w:lang w:val="en-GB"/>
        </w:rPr>
        <w:t xml:space="preserve"> </w:t>
      </w:r>
      <w:r w:rsidR="002450E3" w:rsidRPr="00094196">
        <w:rPr>
          <w:rFonts w:cstheme="minorHAnsi"/>
          <w:lang w:val="en-GB"/>
        </w:rPr>
        <w:t xml:space="preserve">per year </w:t>
      </w:r>
      <w:r w:rsidR="007D7B76" w:rsidRPr="00094196">
        <w:rPr>
          <w:rFonts w:cstheme="minorHAnsi"/>
          <w:lang w:val="en-GB"/>
        </w:rPr>
        <w:t xml:space="preserve">per </w:t>
      </w:r>
      <w:r w:rsidR="002450E3" w:rsidRPr="00094196">
        <w:rPr>
          <w:rFonts w:cstheme="minorHAnsi"/>
          <w:lang w:val="en-GB"/>
        </w:rPr>
        <w:t>inhabitant on</w:t>
      </w:r>
      <w:r w:rsidR="004B653A" w:rsidRPr="00094196">
        <w:rPr>
          <w:rFonts w:cstheme="minorHAnsi"/>
          <w:lang w:val="en-GB"/>
        </w:rPr>
        <w:t xml:space="preserve"> the</w:t>
      </w:r>
      <w:r w:rsidR="002450E3" w:rsidRPr="00094196">
        <w:rPr>
          <w:rFonts w:cstheme="minorHAnsi"/>
          <w:lang w:val="en-GB"/>
        </w:rPr>
        <w:t xml:space="preserve"> </w:t>
      </w:r>
      <w:r w:rsidR="007D7B76" w:rsidRPr="00094196">
        <w:rPr>
          <w:rFonts w:cstheme="minorHAnsi"/>
          <w:lang w:val="en-GB"/>
        </w:rPr>
        <w:t>island</w:t>
      </w:r>
      <w:r w:rsidRPr="00094196">
        <w:rPr>
          <w:rFonts w:cstheme="minorHAnsi"/>
          <w:lang w:val="en-GB"/>
        </w:rPr>
        <w:t>.</w:t>
      </w:r>
    </w:p>
    <w:p w14:paraId="13C321F8" w14:textId="129BDDCD" w:rsidR="00230F40" w:rsidRDefault="00094196" w:rsidP="00D658E4">
      <w:pPr>
        <w:pStyle w:val="ListParagraph"/>
        <w:numPr>
          <w:ilvl w:val="1"/>
          <w:numId w:val="1"/>
        </w:numPr>
        <w:autoSpaceDE w:val="0"/>
        <w:autoSpaceDN w:val="0"/>
        <w:adjustRightInd w:val="0"/>
        <w:spacing w:after="0"/>
        <w:ind w:left="709" w:hanging="306"/>
        <w:jc w:val="both"/>
        <w:rPr>
          <w:rFonts w:cstheme="minorHAnsi"/>
          <w:lang w:val="en-GB"/>
        </w:rPr>
      </w:pPr>
      <w:r>
        <w:rPr>
          <w:rFonts w:cstheme="minorHAnsi"/>
          <w:lang w:val="en-GB"/>
        </w:rPr>
        <w:t>T</w:t>
      </w:r>
      <w:r w:rsidR="00C77289" w:rsidRPr="006F5716">
        <w:rPr>
          <w:rFonts w:cstheme="minorHAnsi"/>
          <w:lang w:val="en-GB"/>
        </w:rPr>
        <w:t>his fr</w:t>
      </w:r>
      <w:r w:rsidR="00CE58E1" w:rsidRPr="006F5716">
        <w:rPr>
          <w:rFonts w:cstheme="minorHAnsi"/>
          <w:lang w:val="en-GB"/>
        </w:rPr>
        <w:t>a</w:t>
      </w:r>
      <w:r w:rsidR="00C77289" w:rsidRPr="006F5716">
        <w:rPr>
          <w:rFonts w:cstheme="minorHAnsi"/>
          <w:lang w:val="en-GB"/>
        </w:rPr>
        <w:t>mework would ideally be applicable to all isl</w:t>
      </w:r>
      <w:r w:rsidR="00CE58E1" w:rsidRPr="006F5716">
        <w:rPr>
          <w:rFonts w:cstheme="minorHAnsi"/>
          <w:lang w:val="en-GB"/>
        </w:rPr>
        <w:t>a</w:t>
      </w:r>
      <w:r w:rsidR="00C77289" w:rsidRPr="006F5716">
        <w:rPr>
          <w:rFonts w:cstheme="minorHAnsi"/>
          <w:lang w:val="en-GB"/>
        </w:rPr>
        <w:t xml:space="preserve">nds as per Eurostat </w:t>
      </w:r>
      <w:r>
        <w:rPr>
          <w:rFonts w:cstheme="minorHAnsi"/>
          <w:lang w:val="en-GB"/>
        </w:rPr>
        <w:t xml:space="preserve">NUTS3 statistical </w:t>
      </w:r>
      <w:r w:rsidR="00C77289" w:rsidRPr="006F5716">
        <w:rPr>
          <w:rFonts w:cstheme="minorHAnsi"/>
          <w:lang w:val="en-GB"/>
        </w:rPr>
        <w:t>definition</w:t>
      </w:r>
      <w:r w:rsidR="00D658E4">
        <w:rPr>
          <w:rFonts w:cstheme="minorHAnsi"/>
          <w:lang w:val="en-GB"/>
        </w:rPr>
        <w:t xml:space="preserve"> – alternatively, it</w:t>
      </w:r>
      <w:r w:rsidR="00CE58E1" w:rsidRPr="006F5716">
        <w:rPr>
          <w:rFonts w:cstheme="minorHAnsi"/>
          <w:lang w:val="en-GB"/>
        </w:rPr>
        <w:t xml:space="preserve"> </w:t>
      </w:r>
      <w:r w:rsidR="00D658E4">
        <w:rPr>
          <w:rFonts w:cstheme="minorHAnsi"/>
          <w:lang w:val="en-GB"/>
        </w:rPr>
        <w:t xml:space="preserve">would be applicable at least </w:t>
      </w:r>
      <w:r w:rsidR="00C77289" w:rsidRPr="006F5716">
        <w:rPr>
          <w:rFonts w:cstheme="minorHAnsi"/>
          <w:lang w:val="en-GB"/>
        </w:rPr>
        <w:t xml:space="preserve">to </w:t>
      </w:r>
      <w:r w:rsidR="00C77289" w:rsidRPr="00D658E4">
        <w:rPr>
          <w:rFonts w:cstheme="minorHAnsi"/>
          <w:lang w:val="en-GB"/>
        </w:rPr>
        <w:t xml:space="preserve">all </w:t>
      </w:r>
      <w:r w:rsidR="00D658E4">
        <w:rPr>
          <w:rFonts w:cstheme="minorHAnsi"/>
          <w:lang w:val="en-GB"/>
        </w:rPr>
        <w:t xml:space="preserve">individual </w:t>
      </w:r>
      <w:r w:rsidR="00C77289" w:rsidRPr="00D658E4">
        <w:rPr>
          <w:rFonts w:cstheme="minorHAnsi"/>
          <w:lang w:val="en-GB"/>
        </w:rPr>
        <w:t>island territories with a</w:t>
      </w:r>
      <w:r w:rsidR="00CE58E1" w:rsidRPr="00D658E4">
        <w:rPr>
          <w:rFonts w:cstheme="minorHAnsi"/>
          <w:lang w:val="en-GB"/>
        </w:rPr>
        <w:t xml:space="preserve"> </w:t>
      </w:r>
      <w:r w:rsidR="00C77289" w:rsidRPr="00D658E4">
        <w:rPr>
          <w:rFonts w:cstheme="minorHAnsi"/>
          <w:lang w:val="en-GB"/>
        </w:rPr>
        <w:t>population of at most 50,000</w:t>
      </w:r>
      <w:r w:rsidR="00CE58E1" w:rsidRPr="00D658E4">
        <w:rPr>
          <w:rFonts w:cstheme="minorHAnsi"/>
          <w:lang w:val="en-GB"/>
        </w:rPr>
        <w:t xml:space="preserve"> or island regions at NUTS 3 level with a population </w:t>
      </w:r>
      <w:r w:rsidR="00D658E4" w:rsidRPr="00D658E4">
        <w:rPr>
          <w:rFonts w:cstheme="minorHAnsi"/>
          <w:lang w:val="en-GB"/>
        </w:rPr>
        <w:t>of at most</w:t>
      </w:r>
      <w:r w:rsidR="00CE58E1" w:rsidRPr="00D658E4">
        <w:rPr>
          <w:rFonts w:cstheme="minorHAnsi"/>
          <w:lang w:val="en-GB"/>
        </w:rPr>
        <w:t xml:space="preserve"> 450,000.</w:t>
      </w:r>
      <w:r w:rsidR="00D658E4" w:rsidRPr="006F5716">
        <w:rPr>
          <w:rFonts w:cstheme="minorHAnsi"/>
          <w:lang w:val="en-GB"/>
        </w:rPr>
        <w:t xml:space="preserve"> </w:t>
      </w:r>
      <w:r w:rsidR="00B021FB">
        <w:rPr>
          <w:rFonts w:cstheme="minorHAnsi"/>
          <w:lang w:val="en-GB"/>
        </w:rPr>
        <w:t>Furthermore, a transition period of nine years is suggested for territories which cease to be eligible under th</w:t>
      </w:r>
      <w:r w:rsidR="00A53FF2">
        <w:rPr>
          <w:rFonts w:cstheme="minorHAnsi"/>
          <w:lang w:val="en-GB"/>
        </w:rPr>
        <w:t>e</w:t>
      </w:r>
      <w:r w:rsidR="00B021FB">
        <w:rPr>
          <w:rFonts w:cstheme="minorHAnsi"/>
          <w:lang w:val="en-GB"/>
        </w:rPr>
        <w:t>s</w:t>
      </w:r>
      <w:r w:rsidR="00A53FF2">
        <w:rPr>
          <w:rFonts w:cstheme="minorHAnsi"/>
          <w:lang w:val="en-GB"/>
        </w:rPr>
        <w:t>e</w:t>
      </w:r>
      <w:r w:rsidR="00B021FB">
        <w:rPr>
          <w:rFonts w:cstheme="minorHAnsi"/>
          <w:lang w:val="en-GB"/>
        </w:rPr>
        <w:t xml:space="preserve"> criteria, in consideration of the need for long-term planning in business. </w:t>
      </w:r>
    </w:p>
    <w:p w14:paraId="19C64848" w14:textId="255269B5" w:rsidR="00D658E4" w:rsidRDefault="00D658E4" w:rsidP="00D658E4">
      <w:pPr>
        <w:autoSpaceDE w:val="0"/>
        <w:autoSpaceDN w:val="0"/>
        <w:adjustRightInd w:val="0"/>
        <w:spacing w:after="0"/>
        <w:jc w:val="both"/>
        <w:rPr>
          <w:rFonts w:cstheme="minorHAnsi"/>
          <w:lang w:val="en-GB"/>
        </w:rPr>
      </w:pPr>
    </w:p>
    <w:p w14:paraId="65AE1A78" w14:textId="52FDC920" w:rsidR="00D658E4" w:rsidRPr="00D658E4" w:rsidRDefault="00D658E4" w:rsidP="00D658E4">
      <w:pPr>
        <w:autoSpaceDE w:val="0"/>
        <w:autoSpaceDN w:val="0"/>
        <w:adjustRightInd w:val="0"/>
        <w:spacing w:after="0"/>
        <w:jc w:val="both"/>
        <w:rPr>
          <w:rFonts w:cstheme="minorHAnsi"/>
          <w:lang w:val="en-GB"/>
        </w:rPr>
      </w:pPr>
      <w:r>
        <w:rPr>
          <w:rFonts w:cstheme="minorHAnsi"/>
          <w:lang w:val="en-GB"/>
        </w:rPr>
        <w:t xml:space="preserve">Further comments on </w:t>
      </w:r>
      <w:r w:rsidR="004410C6">
        <w:rPr>
          <w:rFonts w:cstheme="minorHAnsi"/>
          <w:lang w:val="en-GB"/>
        </w:rPr>
        <w:t>the main elements of these</w:t>
      </w:r>
      <w:r>
        <w:rPr>
          <w:rFonts w:cstheme="minorHAnsi"/>
          <w:lang w:val="en-GB"/>
        </w:rPr>
        <w:t xml:space="preserve"> provisions follow.</w:t>
      </w:r>
    </w:p>
    <w:p w14:paraId="29127680" w14:textId="77777777" w:rsidR="00D658E4" w:rsidRDefault="00D658E4" w:rsidP="00D658E4">
      <w:pPr>
        <w:spacing w:after="0"/>
        <w:jc w:val="both"/>
        <w:rPr>
          <w:rFonts w:cstheme="minorHAnsi"/>
          <w:lang w:val="en-GB"/>
        </w:rPr>
      </w:pPr>
    </w:p>
    <w:p w14:paraId="4458E2BE" w14:textId="77777777" w:rsidR="00D658E4" w:rsidRPr="006F5716" w:rsidRDefault="00D658E4" w:rsidP="00D658E4">
      <w:pPr>
        <w:spacing w:after="0"/>
        <w:jc w:val="both"/>
        <w:rPr>
          <w:rFonts w:cstheme="minorHAnsi"/>
          <w:sz w:val="10"/>
          <w:szCs w:val="10"/>
          <w:lang w:val="en-GB"/>
        </w:rPr>
      </w:pPr>
    </w:p>
    <w:p w14:paraId="20FF6F7D" w14:textId="1B3DD482" w:rsidR="00D658E4" w:rsidRPr="00860A2F" w:rsidRDefault="00D658E4" w:rsidP="00D658E4">
      <w:pPr>
        <w:spacing w:after="0"/>
        <w:jc w:val="both"/>
        <w:rPr>
          <w:rFonts w:cstheme="minorHAnsi"/>
          <w:i/>
          <w:iCs/>
          <w:lang w:val="en-GB"/>
        </w:rPr>
      </w:pPr>
      <w:r w:rsidRPr="00860A2F">
        <w:rPr>
          <w:rFonts w:cstheme="minorHAnsi"/>
          <w:i/>
          <w:iCs/>
          <w:lang w:val="en-GB"/>
        </w:rPr>
        <w:t>Methodology for the establishment of the €500,000 maximum de minimis ceiling</w:t>
      </w:r>
    </w:p>
    <w:p w14:paraId="0264C76F" w14:textId="77777777" w:rsidR="00D658E4" w:rsidRPr="006F5716" w:rsidRDefault="00D658E4" w:rsidP="00D658E4">
      <w:pPr>
        <w:spacing w:after="0"/>
        <w:jc w:val="both"/>
        <w:rPr>
          <w:rFonts w:cstheme="minorHAnsi"/>
          <w:u w:val="single"/>
          <w:lang w:val="en-GB"/>
        </w:rPr>
      </w:pPr>
    </w:p>
    <w:p w14:paraId="0269A7A1" w14:textId="71C02C79" w:rsidR="00D658E4" w:rsidRPr="006F5716" w:rsidRDefault="00D658E4" w:rsidP="00D658E4">
      <w:pPr>
        <w:spacing w:after="0"/>
        <w:jc w:val="both"/>
        <w:rPr>
          <w:rFonts w:cstheme="minorHAnsi"/>
          <w:lang w:val="en-GB"/>
        </w:rPr>
      </w:pPr>
      <w:r w:rsidRPr="006F5716">
        <w:rPr>
          <w:rFonts w:cstheme="minorHAnsi"/>
          <w:lang w:val="en-GB"/>
        </w:rPr>
        <w:t>The establishment of the ceiling</w:t>
      </w:r>
      <w:r w:rsidRPr="006F5716">
        <w:rPr>
          <w:rStyle w:val="FootnoteReference"/>
          <w:rFonts w:cstheme="minorHAnsi"/>
          <w:sz w:val="22"/>
          <w:lang w:val="en-GB"/>
        </w:rPr>
        <w:footnoteReference w:id="20"/>
      </w:r>
      <w:r w:rsidRPr="006F5716">
        <w:rPr>
          <w:rFonts w:cstheme="minorHAnsi"/>
          <w:lang w:val="en-GB"/>
        </w:rPr>
        <w:t xml:space="preserve"> is based on the </w:t>
      </w:r>
      <w:r w:rsidR="00B021FB">
        <w:rPr>
          <w:rFonts w:cstheme="minorHAnsi"/>
          <w:lang w:val="en-GB"/>
        </w:rPr>
        <w:t>estimates as derived in the Annex to this paper regarding</w:t>
      </w:r>
      <w:r w:rsidRPr="006F5716">
        <w:rPr>
          <w:rFonts w:cstheme="minorHAnsi"/>
          <w:lang w:val="en-GB"/>
        </w:rPr>
        <w:t xml:space="preserve"> the higher costs to turnover ratio which firms experience when operating from islands (77.6%) in comparison to those that operate from mainland EU countries (76.2%). Therefore, the cost of doing business from islands</w:t>
      </w:r>
      <w:r w:rsidR="00FE2B39">
        <w:rPr>
          <w:rFonts w:cstheme="minorHAnsi"/>
          <w:lang w:val="en-GB"/>
        </w:rPr>
        <w:t>, as a percentage of turnover,</w:t>
      </w:r>
      <w:r w:rsidRPr="006F5716">
        <w:rPr>
          <w:rFonts w:cstheme="minorHAnsi"/>
          <w:lang w:val="en-GB"/>
        </w:rPr>
        <w:t xml:space="preserve"> is estimated to be 1.4p.p higher</w:t>
      </w:r>
      <w:r w:rsidR="00FE2B39">
        <w:rPr>
          <w:rFonts w:cstheme="minorHAnsi"/>
          <w:lang w:val="en-GB"/>
        </w:rPr>
        <w:t xml:space="preserve"> than that of mainland EU countries</w:t>
      </w:r>
      <w:r w:rsidRPr="006F5716">
        <w:rPr>
          <w:rFonts w:cstheme="minorHAnsi"/>
          <w:lang w:val="en-GB"/>
        </w:rPr>
        <w:t xml:space="preserve">. </w:t>
      </w:r>
      <w:r w:rsidR="00FE2B39">
        <w:rPr>
          <w:rFonts w:cstheme="minorHAnsi"/>
          <w:lang w:val="en-GB"/>
        </w:rPr>
        <w:t xml:space="preserve">As discussed in further detail in the Annex to this study, this constitutes an average increase in cost of around </w:t>
      </w:r>
      <w:r w:rsidR="00FE2B39" w:rsidRPr="00860A2F">
        <w:rPr>
          <w:rFonts w:cstheme="minorHAnsi"/>
          <w:lang w:val="en-GB"/>
        </w:rPr>
        <w:t>€</w:t>
      </w:r>
      <w:r w:rsidR="00FE2B39">
        <w:rPr>
          <w:rFonts w:cstheme="minorHAnsi"/>
          <w:lang w:val="en-GB"/>
        </w:rPr>
        <w:t xml:space="preserve">93,000 per firm per year. Taken over the context of three years, this would justify an increase of </w:t>
      </w:r>
      <w:r w:rsidR="00FE2B39" w:rsidRPr="00FE2B39">
        <w:rPr>
          <w:rFonts w:cstheme="minorHAnsi"/>
          <w:lang w:val="en-GB"/>
        </w:rPr>
        <w:t>€300,000</w:t>
      </w:r>
      <w:r w:rsidR="00FE2B39">
        <w:rPr>
          <w:rFonts w:cstheme="minorHAnsi"/>
          <w:lang w:val="en-GB"/>
        </w:rPr>
        <w:t xml:space="preserve"> in the de minimis limit to </w:t>
      </w:r>
      <w:r w:rsidR="00FE2B39" w:rsidRPr="00FE2B39">
        <w:rPr>
          <w:rFonts w:cstheme="minorHAnsi"/>
          <w:lang w:val="en-GB"/>
        </w:rPr>
        <w:t>€</w:t>
      </w:r>
      <w:r w:rsidR="00FE2B39">
        <w:rPr>
          <w:rFonts w:cstheme="minorHAnsi"/>
          <w:lang w:val="en-GB"/>
        </w:rPr>
        <w:t>5</w:t>
      </w:r>
      <w:r w:rsidR="00FE2B39" w:rsidRPr="00FE2B39">
        <w:rPr>
          <w:rFonts w:cstheme="minorHAnsi"/>
          <w:lang w:val="en-GB"/>
        </w:rPr>
        <w:t>00,000</w:t>
      </w:r>
      <w:r w:rsidR="00FE2B39">
        <w:rPr>
          <w:rFonts w:cstheme="minorHAnsi"/>
          <w:lang w:val="en-GB"/>
        </w:rPr>
        <w:t>.</w:t>
      </w:r>
    </w:p>
    <w:p w14:paraId="2A507BAB" w14:textId="77777777" w:rsidR="00D658E4" w:rsidRPr="006F5716" w:rsidRDefault="00D658E4" w:rsidP="00D658E4">
      <w:pPr>
        <w:spacing w:after="0"/>
        <w:jc w:val="both"/>
        <w:rPr>
          <w:rFonts w:cstheme="minorHAnsi"/>
          <w:lang w:val="en-GB"/>
        </w:rPr>
      </w:pPr>
    </w:p>
    <w:p w14:paraId="6CA52118" w14:textId="1496ED11" w:rsidR="00D658E4" w:rsidRPr="006F5716" w:rsidRDefault="00D658E4" w:rsidP="00D658E4">
      <w:pPr>
        <w:autoSpaceDE w:val="0"/>
        <w:autoSpaceDN w:val="0"/>
        <w:adjustRightInd w:val="0"/>
        <w:spacing w:after="0"/>
        <w:jc w:val="both"/>
        <w:rPr>
          <w:rFonts w:cstheme="minorHAnsi"/>
          <w:lang w:val="en-GB"/>
        </w:rPr>
      </w:pPr>
      <w:r w:rsidRPr="006F5716">
        <w:rPr>
          <w:rFonts w:cstheme="minorHAnsi"/>
          <w:lang w:val="en-GB"/>
        </w:rPr>
        <w:t>It is worth noting that even though firms within the micro category (employing up to 9 workers) are predominant both in the EU as well as in islands, the calculation of the €500,000 ceiling is based on</w:t>
      </w:r>
      <w:r w:rsidR="00B021FB">
        <w:rPr>
          <w:rFonts w:cstheme="minorHAnsi"/>
          <w:lang w:val="en-GB"/>
        </w:rPr>
        <w:t xml:space="preserve"> the needs of</w:t>
      </w:r>
      <w:r w:rsidRPr="006F5716">
        <w:rPr>
          <w:rFonts w:cstheme="minorHAnsi"/>
          <w:lang w:val="en-GB"/>
        </w:rPr>
        <w:t xml:space="preserve"> firms that employ 20 to 49 workers. </w:t>
      </w:r>
      <w:r w:rsidR="00B021FB">
        <w:rPr>
          <w:rFonts w:cstheme="minorHAnsi"/>
          <w:lang w:val="en-GB"/>
        </w:rPr>
        <w:t>This is because the</w:t>
      </w:r>
      <w:r w:rsidRPr="006F5716">
        <w:rPr>
          <w:rFonts w:cstheme="minorHAnsi"/>
          <w:lang w:val="en-GB"/>
        </w:rPr>
        <w:t xml:space="preserve"> increase in the ceiling of the </w:t>
      </w:r>
      <w:r>
        <w:rPr>
          <w:rFonts w:cstheme="minorHAnsi"/>
          <w:lang w:val="en-GB"/>
        </w:rPr>
        <w:t>d</w:t>
      </w:r>
      <w:r w:rsidRPr="006F5716">
        <w:rPr>
          <w:rFonts w:cstheme="minorHAnsi"/>
          <w:lang w:val="en-GB"/>
        </w:rPr>
        <w:t>e</w:t>
      </w:r>
      <w:r>
        <w:rPr>
          <w:rFonts w:cstheme="minorHAnsi"/>
          <w:lang w:val="en-GB"/>
        </w:rPr>
        <w:t xml:space="preserve"> </w:t>
      </w:r>
      <w:r w:rsidRPr="006F5716">
        <w:rPr>
          <w:rFonts w:cstheme="minorHAnsi"/>
          <w:lang w:val="en-GB"/>
        </w:rPr>
        <w:t xml:space="preserve">minimis </w:t>
      </w:r>
      <w:r w:rsidR="00B021FB">
        <w:rPr>
          <w:rFonts w:cstheme="minorHAnsi"/>
          <w:lang w:val="en-GB"/>
        </w:rPr>
        <w:t>amount would</w:t>
      </w:r>
      <w:r w:rsidRPr="006F5716">
        <w:rPr>
          <w:rFonts w:cstheme="minorHAnsi"/>
          <w:lang w:val="en-GB"/>
        </w:rPr>
        <w:t xml:space="preserve"> be most </w:t>
      </w:r>
      <w:r w:rsidR="00FE2B39">
        <w:rPr>
          <w:rFonts w:cstheme="minorHAnsi"/>
          <w:lang w:val="en-GB"/>
        </w:rPr>
        <w:t>needed</w:t>
      </w:r>
      <w:r w:rsidRPr="006F5716">
        <w:rPr>
          <w:rFonts w:cstheme="minorHAnsi"/>
          <w:lang w:val="en-GB"/>
        </w:rPr>
        <w:t xml:space="preserve"> within </w:t>
      </w:r>
      <w:r w:rsidR="00FE2B39">
        <w:rPr>
          <w:rFonts w:cstheme="minorHAnsi"/>
          <w:lang w:val="en-GB"/>
        </w:rPr>
        <w:t>this category. F</w:t>
      </w:r>
      <w:r w:rsidRPr="006F5716">
        <w:rPr>
          <w:rFonts w:cstheme="minorHAnsi"/>
          <w:lang w:val="en-GB"/>
        </w:rPr>
        <w:t xml:space="preserve">irms of this size are </w:t>
      </w:r>
      <w:r w:rsidR="00FE2B39">
        <w:rPr>
          <w:rFonts w:cstheme="minorHAnsi"/>
          <w:lang w:val="en-GB"/>
        </w:rPr>
        <w:t>less numerous than micro firms, especially in islands where business finds significant obstacles to achieve growth. This in good part explains the EU Commission’s observation that the maximum de minimis limit is rarely reached in islands. Nevertheless, it is observed that firms of this size need to be compensated for the additional costs of doing business at least for two reasons. From a static perspective, these firms are already making a marked contribution to output and employment in islands</w:t>
      </w:r>
      <w:r w:rsidR="00B021FB">
        <w:rPr>
          <w:rFonts w:cstheme="minorHAnsi"/>
          <w:lang w:val="en-GB"/>
        </w:rPr>
        <w:t xml:space="preserve"> (around 10.5% of the total as per the findings presented in the Annex to this paper)</w:t>
      </w:r>
      <w:r w:rsidR="00FE2B39">
        <w:rPr>
          <w:rFonts w:cstheme="minorHAnsi"/>
          <w:lang w:val="en-GB"/>
        </w:rPr>
        <w:t xml:space="preserve">. From a dynamic perspective, the possibility for firms to attain higher levels of support would incentivise micro firms to grow. This is essential to achieve the much-needed critical mass for island business activity, and the consequent expected improvement in the attraction of resources, productivity, innovation and overall competitiveness. </w:t>
      </w:r>
    </w:p>
    <w:p w14:paraId="61A68EE2" w14:textId="377F0D0B" w:rsidR="00665AB7" w:rsidRPr="00860A2F" w:rsidRDefault="00665AB7" w:rsidP="006F5716">
      <w:pPr>
        <w:autoSpaceDE w:val="0"/>
        <w:autoSpaceDN w:val="0"/>
        <w:adjustRightInd w:val="0"/>
        <w:spacing w:before="240" w:after="0"/>
        <w:jc w:val="both"/>
        <w:rPr>
          <w:rFonts w:cstheme="minorHAnsi"/>
          <w:i/>
          <w:iCs/>
          <w:lang w:val="en-GB"/>
        </w:rPr>
      </w:pPr>
      <w:r w:rsidRPr="00860A2F">
        <w:rPr>
          <w:rFonts w:cstheme="minorHAnsi"/>
          <w:i/>
          <w:iCs/>
          <w:lang w:val="en-GB"/>
        </w:rPr>
        <w:t>Business Development Themes</w:t>
      </w:r>
    </w:p>
    <w:p w14:paraId="01674BC6" w14:textId="77777777" w:rsidR="00665AB7" w:rsidRPr="006F5716" w:rsidRDefault="00665AB7" w:rsidP="006F5716">
      <w:pPr>
        <w:autoSpaceDE w:val="0"/>
        <w:autoSpaceDN w:val="0"/>
        <w:adjustRightInd w:val="0"/>
        <w:spacing w:after="0"/>
        <w:jc w:val="both"/>
        <w:rPr>
          <w:rFonts w:cstheme="minorHAnsi"/>
          <w:u w:val="single"/>
          <w:lang w:val="en-GB"/>
        </w:rPr>
      </w:pPr>
    </w:p>
    <w:p w14:paraId="0CE3CB2F" w14:textId="3D0DB8F8" w:rsidR="004B653A" w:rsidRPr="006F5716" w:rsidRDefault="0029758A" w:rsidP="006F5716">
      <w:pPr>
        <w:autoSpaceDE w:val="0"/>
        <w:autoSpaceDN w:val="0"/>
        <w:adjustRightInd w:val="0"/>
        <w:spacing w:after="0"/>
        <w:jc w:val="both"/>
        <w:rPr>
          <w:rFonts w:cstheme="minorHAnsi"/>
          <w:lang w:val="en-GB"/>
        </w:rPr>
      </w:pPr>
      <w:r w:rsidRPr="006F5716">
        <w:rPr>
          <w:rFonts w:cstheme="minorHAnsi"/>
          <w:lang w:val="en-GB"/>
        </w:rPr>
        <w:t>A</w:t>
      </w:r>
      <w:r w:rsidR="004B653A" w:rsidRPr="006F5716">
        <w:rPr>
          <w:rFonts w:cstheme="minorHAnsi"/>
          <w:lang w:val="en-GB"/>
        </w:rPr>
        <w:t>ny business would be eligible to the de minimis €</w:t>
      </w:r>
      <w:r w:rsidR="00C41F82" w:rsidRPr="006F5716">
        <w:rPr>
          <w:rFonts w:cstheme="minorHAnsi"/>
          <w:lang w:val="en-GB"/>
        </w:rPr>
        <w:t>5</w:t>
      </w:r>
      <w:r w:rsidR="004B653A" w:rsidRPr="006F5716">
        <w:rPr>
          <w:rFonts w:cstheme="minorHAnsi"/>
          <w:lang w:val="en-GB"/>
        </w:rPr>
        <w:t>00,000 for the first three years of the introduction of the new rules if it is investing and/or operating in activities which are encompassed within any one or more of the business development themes set out above</w:t>
      </w:r>
      <w:r w:rsidR="001432CA" w:rsidRPr="006F5716">
        <w:rPr>
          <w:rFonts w:cstheme="minorHAnsi"/>
          <w:lang w:val="en-GB"/>
        </w:rPr>
        <w:t xml:space="preserve">. </w:t>
      </w:r>
      <w:r w:rsidR="004B653A" w:rsidRPr="006F5716">
        <w:rPr>
          <w:rFonts w:cstheme="minorHAnsi"/>
          <w:lang w:val="en-GB"/>
        </w:rPr>
        <w:t>This determination would be done on the basis of a specific test which would be devised for the purpose and adapted to specific island situations</w:t>
      </w:r>
      <w:r w:rsidR="000C2ABC" w:rsidRPr="006F5716">
        <w:rPr>
          <w:rFonts w:cstheme="minorHAnsi"/>
          <w:lang w:val="en-GB"/>
        </w:rPr>
        <w:t xml:space="preserve">, </w:t>
      </w:r>
      <w:r w:rsidR="00D658E4">
        <w:rPr>
          <w:rFonts w:cstheme="minorHAnsi"/>
          <w:lang w:val="en-GB"/>
        </w:rPr>
        <w:t>including</w:t>
      </w:r>
      <w:r w:rsidR="000C2ABC" w:rsidRPr="006F5716">
        <w:rPr>
          <w:rFonts w:cstheme="minorHAnsi"/>
          <w:lang w:val="en-GB"/>
        </w:rPr>
        <w:t xml:space="preserve"> criteria for the minimum generation of employment </w:t>
      </w:r>
      <w:r w:rsidR="00D658E4">
        <w:rPr>
          <w:rFonts w:cstheme="minorHAnsi"/>
          <w:lang w:val="en-GB"/>
        </w:rPr>
        <w:t xml:space="preserve">on the island </w:t>
      </w:r>
      <w:r w:rsidR="000C2ABC" w:rsidRPr="006F5716">
        <w:rPr>
          <w:rFonts w:cstheme="minorHAnsi"/>
          <w:lang w:val="en-GB"/>
        </w:rPr>
        <w:t>that should be commensurate with the aid received</w:t>
      </w:r>
      <w:r w:rsidR="004B653A" w:rsidRPr="006F5716">
        <w:rPr>
          <w:rFonts w:cstheme="minorHAnsi"/>
          <w:lang w:val="en-GB"/>
        </w:rPr>
        <w:t>.</w:t>
      </w:r>
    </w:p>
    <w:p w14:paraId="37D37623" w14:textId="4667E445" w:rsidR="00C41F82" w:rsidRPr="006F5716" w:rsidRDefault="00C41F82" w:rsidP="006F5716">
      <w:pPr>
        <w:spacing w:after="0"/>
        <w:jc w:val="both"/>
        <w:rPr>
          <w:rFonts w:cstheme="minorHAnsi"/>
          <w:lang w:val="en-GB"/>
        </w:rPr>
      </w:pPr>
    </w:p>
    <w:p w14:paraId="4DB90E97" w14:textId="2C9E1F73" w:rsidR="00FE29B5" w:rsidRPr="006F5716" w:rsidRDefault="00C77289" w:rsidP="006F5716">
      <w:pPr>
        <w:spacing w:after="0"/>
        <w:jc w:val="both"/>
        <w:rPr>
          <w:rFonts w:cstheme="minorHAnsi"/>
          <w:lang w:val="en-GB"/>
        </w:rPr>
      </w:pPr>
      <w:r w:rsidRPr="006F5716">
        <w:rPr>
          <w:rFonts w:cstheme="minorHAnsi"/>
          <w:lang w:val="en-GB"/>
        </w:rPr>
        <w:t xml:space="preserve">Business development themes are here proposed specifically for their role in helping island business to maximise its contribution to socio-economic development and to target market failures creating an unlevel playing field for business in Islands. </w:t>
      </w:r>
      <w:r w:rsidR="00D658E4">
        <w:rPr>
          <w:rFonts w:cstheme="minorHAnsi"/>
          <w:lang w:val="en-GB"/>
        </w:rPr>
        <w:t>The t</w:t>
      </w:r>
      <w:r w:rsidR="00230F40" w:rsidRPr="006F5716">
        <w:rPr>
          <w:rFonts w:cstheme="minorHAnsi"/>
          <w:lang w:val="en-GB"/>
        </w:rPr>
        <w:t xml:space="preserve">hemes have been selected </w:t>
      </w:r>
      <w:r w:rsidR="00FE29B5" w:rsidRPr="006F5716">
        <w:rPr>
          <w:rFonts w:cstheme="minorHAnsi"/>
          <w:lang w:val="en-GB"/>
        </w:rPr>
        <w:t xml:space="preserve">to be in line with the </w:t>
      </w:r>
      <w:r w:rsidR="00D658E4">
        <w:rPr>
          <w:rFonts w:cstheme="minorHAnsi"/>
          <w:lang w:val="en-GB"/>
        </w:rPr>
        <w:t>findings of studies</w:t>
      </w:r>
      <w:r w:rsidR="00FE29B5" w:rsidRPr="006F5716">
        <w:rPr>
          <w:rFonts w:cstheme="minorHAnsi"/>
          <w:lang w:val="en-GB"/>
        </w:rPr>
        <w:t xml:space="preserve"> as well as the best practice examples </w:t>
      </w:r>
      <w:r w:rsidR="00D658E4">
        <w:rPr>
          <w:rFonts w:cstheme="minorHAnsi"/>
          <w:lang w:val="en-GB"/>
        </w:rPr>
        <w:t xml:space="preserve">discussed </w:t>
      </w:r>
      <w:r w:rsidR="00FE29B5" w:rsidRPr="006F5716">
        <w:rPr>
          <w:rFonts w:cstheme="minorHAnsi"/>
          <w:lang w:val="en-GB"/>
        </w:rPr>
        <w:t xml:space="preserve">earlier on. </w:t>
      </w:r>
    </w:p>
    <w:p w14:paraId="52729237" w14:textId="77777777" w:rsidR="00FE29B5" w:rsidRPr="006F5716" w:rsidRDefault="00FE29B5" w:rsidP="006F5716">
      <w:pPr>
        <w:spacing w:after="0"/>
        <w:jc w:val="both"/>
        <w:rPr>
          <w:rFonts w:cstheme="minorHAnsi"/>
          <w:lang w:val="en-GB"/>
        </w:rPr>
      </w:pPr>
    </w:p>
    <w:p w14:paraId="32713FF7" w14:textId="136A327D" w:rsidR="00C77289" w:rsidRPr="006F5716" w:rsidRDefault="00FE29B5" w:rsidP="006F5716">
      <w:pPr>
        <w:spacing w:after="0"/>
        <w:jc w:val="both"/>
        <w:rPr>
          <w:rFonts w:cstheme="minorHAnsi"/>
          <w:lang w:val="en-GB"/>
        </w:rPr>
      </w:pPr>
      <w:r w:rsidRPr="006F5716">
        <w:rPr>
          <w:rFonts w:cstheme="minorHAnsi"/>
          <w:lang w:val="en-GB"/>
        </w:rPr>
        <w:t>Businesses covered by this framework should</w:t>
      </w:r>
      <w:r w:rsidR="00D658E4">
        <w:rPr>
          <w:rFonts w:cstheme="minorHAnsi"/>
          <w:lang w:val="en-GB"/>
        </w:rPr>
        <w:t>, through their outputs or utilisation of inputs, make a contribution to their respective islands under one or more of the identified themes.</w:t>
      </w:r>
      <w:r w:rsidRPr="006F5716">
        <w:rPr>
          <w:rFonts w:cstheme="minorHAnsi"/>
          <w:lang w:val="en-GB"/>
        </w:rPr>
        <w:t xml:space="preserve"> </w:t>
      </w:r>
      <w:r w:rsidR="007B4673" w:rsidRPr="006F5716">
        <w:rPr>
          <w:rFonts w:cstheme="minorHAnsi"/>
          <w:lang w:val="en-GB"/>
        </w:rPr>
        <w:t xml:space="preserve">This framework also includes </w:t>
      </w:r>
      <w:r w:rsidR="00D658E4">
        <w:rPr>
          <w:rFonts w:cstheme="minorHAnsi"/>
          <w:lang w:val="en-GB"/>
        </w:rPr>
        <w:t xml:space="preserve">the promotion of </w:t>
      </w:r>
      <w:r w:rsidR="007B4673" w:rsidRPr="006F5716">
        <w:rPr>
          <w:rFonts w:cstheme="minorHAnsi"/>
          <w:lang w:val="en-GB"/>
        </w:rPr>
        <w:t>social enterprise</w:t>
      </w:r>
      <w:r w:rsidR="00D658E4">
        <w:rPr>
          <w:rFonts w:cstheme="minorHAnsi"/>
          <w:lang w:val="en-GB"/>
        </w:rPr>
        <w:t>, which is rapidly gaining traction to fulfil market niches, promote social inclusion through economic activity and introduce innovative practices in a number of business areas</w:t>
      </w:r>
      <w:r w:rsidR="007B4673" w:rsidRPr="006F5716">
        <w:rPr>
          <w:rFonts w:cstheme="minorHAnsi"/>
          <w:lang w:val="en-GB"/>
        </w:rPr>
        <w:t xml:space="preserve">. </w:t>
      </w:r>
    </w:p>
    <w:p w14:paraId="75DE08E0" w14:textId="7FC48DA1" w:rsidR="001432CA" w:rsidRDefault="001432CA" w:rsidP="006F5716">
      <w:pPr>
        <w:spacing w:after="0"/>
        <w:jc w:val="both"/>
        <w:rPr>
          <w:rFonts w:cstheme="minorHAnsi"/>
          <w:lang w:val="en-GB"/>
        </w:rPr>
      </w:pPr>
    </w:p>
    <w:p w14:paraId="549A42F6" w14:textId="0DBDC9AD" w:rsidR="004410C6" w:rsidRPr="00860A2F" w:rsidRDefault="004410C6" w:rsidP="004410C6">
      <w:pPr>
        <w:spacing w:after="0"/>
        <w:jc w:val="both"/>
        <w:rPr>
          <w:rFonts w:cstheme="minorHAnsi"/>
          <w:i/>
          <w:iCs/>
          <w:lang w:val="en-GB"/>
        </w:rPr>
      </w:pPr>
      <w:r w:rsidRPr="00860A2F">
        <w:rPr>
          <w:rFonts w:cstheme="minorHAnsi"/>
          <w:i/>
          <w:iCs/>
          <w:lang w:val="en-GB"/>
        </w:rPr>
        <w:t>The Need for and Plausibility of the Budget Limit</w:t>
      </w:r>
    </w:p>
    <w:p w14:paraId="3D07B52E" w14:textId="7E15DDFC" w:rsidR="004410C6" w:rsidRDefault="004410C6" w:rsidP="004410C6">
      <w:pPr>
        <w:spacing w:after="0"/>
        <w:jc w:val="both"/>
        <w:rPr>
          <w:rFonts w:cstheme="minorHAnsi"/>
          <w:lang w:val="en-GB"/>
        </w:rPr>
      </w:pPr>
    </w:p>
    <w:p w14:paraId="27F20AF4" w14:textId="448FA5F8" w:rsidR="004410C6" w:rsidRDefault="004410C6" w:rsidP="004410C6">
      <w:pPr>
        <w:spacing w:after="0"/>
        <w:jc w:val="both"/>
        <w:rPr>
          <w:rFonts w:cstheme="minorHAnsi"/>
          <w:lang w:val="en-GB"/>
        </w:rPr>
      </w:pPr>
      <w:r>
        <w:rPr>
          <w:rFonts w:cstheme="minorHAnsi"/>
          <w:lang w:val="en-GB"/>
        </w:rPr>
        <w:t>A maximum budget for a given island benefiting from this arrangement is needed to reduce the possibilities for business with no nexus to the particular island from benefitting from this regime. This complements the eligibility tests describe</w:t>
      </w:r>
      <w:r w:rsidR="002F54A4">
        <w:rPr>
          <w:rFonts w:cstheme="minorHAnsi"/>
          <w:lang w:val="en-GB"/>
        </w:rPr>
        <w:t>d</w:t>
      </w:r>
      <w:r>
        <w:rPr>
          <w:rFonts w:cstheme="minorHAnsi"/>
          <w:lang w:val="en-GB"/>
        </w:rPr>
        <w:t xml:space="preserve"> above which would require the creation of employment specifically on the island, apart from other contributions under the selected development themes.  This minimises the potential for trade distortion through the implementation of this proposal.</w:t>
      </w:r>
    </w:p>
    <w:p w14:paraId="52F3421E" w14:textId="77777777" w:rsidR="004410C6" w:rsidRDefault="004410C6" w:rsidP="004410C6">
      <w:pPr>
        <w:spacing w:after="0"/>
        <w:jc w:val="both"/>
        <w:rPr>
          <w:rFonts w:cstheme="minorHAnsi"/>
          <w:lang w:val="en-GB"/>
        </w:rPr>
      </w:pPr>
    </w:p>
    <w:p w14:paraId="6BBE6912" w14:textId="67998669" w:rsidR="004410C6" w:rsidRPr="006F5716" w:rsidRDefault="004410C6" w:rsidP="004410C6">
      <w:pPr>
        <w:spacing w:after="0"/>
        <w:jc w:val="both"/>
        <w:rPr>
          <w:rFonts w:cstheme="minorHAnsi"/>
          <w:lang w:val="en-GB"/>
        </w:rPr>
      </w:pPr>
      <w:r>
        <w:rPr>
          <w:rFonts w:cstheme="minorHAnsi"/>
          <w:lang w:val="en-GB"/>
        </w:rPr>
        <w:t>As an example, u</w:t>
      </w:r>
      <w:r w:rsidRPr="006F5716">
        <w:rPr>
          <w:rFonts w:cstheme="minorHAnsi"/>
          <w:lang w:val="en-GB"/>
        </w:rPr>
        <w:t xml:space="preserve">nder the special arrangement for islands </w:t>
      </w:r>
      <w:r>
        <w:rPr>
          <w:rFonts w:cstheme="minorHAnsi"/>
          <w:lang w:val="en-GB"/>
        </w:rPr>
        <w:t>proposed here</w:t>
      </w:r>
      <w:r w:rsidRPr="006F5716">
        <w:rPr>
          <w:rFonts w:cstheme="minorHAnsi"/>
          <w:lang w:val="en-GB"/>
        </w:rPr>
        <w:t xml:space="preserve">, </w:t>
      </w:r>
      <w:r>
        <w:rPr>
          <w:rFonts w:cstheme="minorHAnsi"/>
          <w:lang w:val="en-GB"/>
        </w:rPr>
        <w:t xml:space="preserve">an island with a population of 50,000 persons would have a total de minimis maximum budget allocation of </w:t>
      </w:r>
      <w:r w:rsidRPr="006F5716">
        <w:rPr>
          <w:rFonts w:cstheme="minorHAnsi"/>
          <w:lang w:val="en-GB"/>
        </w:rPr>
        <w:t>€</w:t>
      </w:r>
      <w:r>
        <w:rPr>
          <w:rFonts w:cstheme="minorHAnsi"/>
          <w:lang w:val="en-GB"/>
        </w:rPr>
        <w:t xml:space="preserve">250 million to provide in terms of aid, equivalent to around 500 firms on the island benefiting from the maximum ceiling of </w:t>
      </w:r>
      <w:r w:rsidRPr="006F5716">
        <w:rPr>
          <w:rFonts w:cstheme="minorHAnsi"/>
          <w:lang w:val="en-GB"/>
        </w:rPr>
        <w:t>€500,000</w:t>
      </w:r>
      <w:r>
        <w:rPr>
          <w:rFonts w:cstheme="minorHAnsi"/>
          <w:lang w:val="en-GB"/>
        </w:rPr>
        <w:t>. These amounts are considered to be adequate and proportional to the needs for State Aid regime flexibility with respect to island territories.</w:t>
      </w:r>
    </w:p>
    <w:p w14:paraId="327A49CF" w14:textId="186E4878" w:rsidR="004410C6" w:rsidRDefault="004410C6" w:rsidP="006F5716">
      <w:pPr>
        <w:spacing w:after="0"/>
        <w:jc w:val="both"/>
        <w:rPr>
          <w:rFonts w:cstheme="minorHAnsi"/>
          <w:lang w:val="en-GB"/>
        </w:rPr>
      </w:pPr>
    </w:p>
    <w:p w14:paraId="59DED4E5" w14:textId="77777777" w:rsidR="004410C6" w:rsidRPr="006F5716" w:rsidRDefault="004410C6" w:rsidP="006F5716">
      <w:pPr>
        <w:spacing w:after="0"/>
        <w:jc w:val="both"/>
        <w:rPr>
          <w:rFonts w:cstheme="minorHAnsi"/>
          <w:lang w:val="en-GB"/>
        </w:rPr>
      </w:pPr>
    </w:p>
    <w:p w14:paraId="5EE6BF17" w14:textId="56B838E9" w:rsidR="00D658E4" w:rsidRPr="00860A2F" w:rsidRDefault="00D658E4" w:rsidP="00D658E4">
      <w:pPr>
        <w:spacing w:after="0"/>
        <w:jc w:val="both"/>
        <w:rPr>
          <w:rFonts w:cstheme="minorHAnsi"/>
          <w:i/>
          <w:iCs/>
          <w:lang w:val="en-GB"/>
        </w:rPr>
      </w:pPr>
      <w:r w:rsidRPr="00860A2F">
        <w:rPr>
          <w:rFonts w:cstheme="minorHAnsi"/>
          <w:i/>
          <w:iCs/>
          <w:lang w:val="en-GB"/>
        </w:rPr>
        <w:t>The Tapering Provision</w:t>
      </w:r>
    </w:p>
    <w:p w14:paraId="663D5375" w14:textId="77777777" w:rsidR="00FE2B39" w:rsidRDefault="00FE2B39" w:rsidP="00D658E4">
      <w:pPr>
        <w:spacing w:after="0"/>
        <w:jc w:val="both"/>
        <w:rPr>
          <w:rFonts w:cstheme="minorHAnsi"/>
          <w:lang w:val="en-GB"/>
        </w:rPr>
      </w:pPr>
    </w:p>
    <w:p w14:paraId="767894FF" w14:textId="6E34E3D9" w:rsidR="00D658E4" w:rsidRPr="006F5716" w:rsidRDefault="00D658E4" w:rsidP="00D658E4">
      <w:pPr>
        <w:spacing w:after="0"/>
        <w:jc w:val="both"/>
        <w:rPr>
          <w:rFonts w:cstheme="minorHAnsi"/>
          <w:lang w:val="en-GB"/>
        </w:rPr>
      </w:pPr>
      <w:r w:rsidRPr="006F5716">
        <w:rPr>
          <w:rFonts w:cstheme="minorHAnsi"/>
          <w:lang w:val="en-GB"/>
        </w:rPr>
        <w:t>Tapering is needed to allow new firms to benefit from the maximum ceiling to reduce the cost of doing business from islands</w:t>
      </w:r>
      <w:r w:rsidRPr="006F5716">
        <w:rPr>
          <w:rStyle w:val="FootnoteReference"/>
          <w:rFonts w:cstheme="minorHAnsi"/>
          <w:sz w:val="22"/>
          <w:lang w:val="en-GB"/>
        </w:rPr>
        <w:footnoteReference w:id="21"/>
      </w:r>
      <w:r w:rsidRPr="006F5716">
        <w:rPr>
          <w:rFonts w:cstheme="minorHAnsi"/>
          <w:lang w:val="en-GB"/>
        </w:rPr>
        <w:t xml:space="preserve">, within the limits of the budget allowed to the island territory. Once that firms start to benefit from this support, the amount is slowly reduced to the current maximum limit to </w:t>
      </w:r>
      <w:r w:rsidR="004410C6">
        <w:rPr>
          <w:rFonts w:cstheme="minorHAnsi"/>
          <w:lang w:val="en-GB"/>
        </w:rPr>
        <w:t>allow other firms to benefit from higher limits within the context of the budget available</w:t>
      </w:r>
      <w:r w:rsidRPr="006F5716">
        <w:rPr>
          <w:rFonts w:cstheme="minorHAnsi"/>
          <w:lang w:val="en-GB"/>
        </w:rPr>
        <w:t>.</w:t>
      </w:r>
    </w:p>
    <w:p w14:paraId="3BF251C4" w14:textId="38541CAE" w:rsidR="00D658E4" w:rsidRDefault="00D658E4" w:rsidP="00D658E4">
      <w:pPr>
        <w:spacing w:after="0"/>
        <w:jc w:val="both"/>
        <w:rPr>
          <w:rFonts w:cstheme="minorHAnsi"/>
          <w:lang w:val="en-GB"/>
        </w:rPr>
      </w:pPr>
    </w:p>
    <w:p w14:paraId="0DDD1B9A" w14:textId="77777777" w:rsidR="00D658E4" w:rsidRDefault="00D658E4" w:rsidP="00D658E4">
      <w:pPr>
        <w:spacing w:after="0"/>
        <w:jc w:val="both"/>
        <w:rPr>
          <w:rFonts w:cstheme="minorHAnsi"/>
          <w:lang w:val="en-GB"/>
        </w:rPr>
      </w:pPr>
    </w:p>
    <w:p w14:paraId="5A7DC620" w14:textId="75331612" w:rsidR="003223E8" w:rsidRPr="006F5716" w:rsidRDefault="003223E8" w:rsidP="003223E8">
      <w:pPr>
        <w:jc w:val="both"/>
        <w:rPr>
          <w:b/>
          <w:bCs/>
          <w:sz w:val="24"/>
          <w:szCs w:val="24"/>
          <w:lang w:val="en-GB"/>
        </w:rPr>
      </w:pPr>
      <w:r>
        <w:rPr>
          <w:b/>
          <w:bCs/>
          <w:sz w:val="24"/>
          <w:szCs w:val="24"/>
          <w:lang w:val="en-GB"/>
        </w:rPr>
        <w:t>4</w:t>
      </w:r>
      <w:r w:rsidRPr="006F5716">
        <w:rPr>
          <w:b/>
          <w:bCs/>
          <w:sz w:val="24"/>
          <w:szCs w:val="24"/>
          <w:lang w:val="en-GB"/>
        </w:rPr>
        <w:t xml:space="preserve">.  </w:t>
      </w:r>
      <w:r>
        <w:rPr>
          <w:b/>
          <w:bCs/>
          <w:sz w:val="24"/>
          <w:szCs w:val="24"/>
          <w:lang w:val="en-GB"/>
        </w:rPr>
        <w:t>Conclusion</w:t>
      </w:r>
    </w:p>
    <w:p w14:paraId="73D543F9" w14:textId="00CAD775" w:rsidR="00D658E4" w:rsidRDefault="00D658E4" w:rsidP="00D658E4">
      <w:pPr>
        <w:spacing w:after="0"/>
        <w:jc w:val="both"/>
        <w:rPr>
          <w:rFonts w:cstheme="minorHAnsi"/>
          <w:lang w:val="en-GB"/>
        </w:rPr>
      </w:pPr>
    </w:p>
    <w:p w14:paraId="00B8630C" w14:textId="19297E3A" w:rsidR="00D658E4" w:rsidRDefault="00B07D5B" w:rsidP="00D658E4">
      <w:pPr>
        <w:spacing w:after="0"/>
        <w:jc w:val="both"/>
        <w:rPr>
          <w:rFonts w:cstheme="minorHAnsi"/>
          <w:lang w:val="en-GB"/>
        </w:rPr>
      </w:pPr>
      <w:r>
        <w:rPr>
          <w:rFonts w:cstheme="minorHAnsi"/>
          <w:lang w:val="en-GB"/>
        </w:rPr>
        <w:t>This paper is presenting an approach towards applying flexibility in relation to the de minimis amount for business on islands that is:</w:t>
      </w:r>
    </w:p>
    <w:p w14:paraId="67DC2706" w14:textId="74C9C159" w:rsidR="00B07D5B" w:rsidRDefault="00B07D5B" w:rsidP="00B07D5B">
      <w:pPr>
        <w:pStyle w:val="ListParagraph"/>
        <w:numPr>
          <w:ilvl w:val="0"/>
          <w:numId w:val="15"/>
        </w:numPr>
        <w:spacing w:after="0"/>
        <w:jc w:val="both"/>
        <w:rPr>
          <w:rFonts w:cstheme="minorHAnsi"/>
          <w:lang w:val="en-GB"/>
        </w:rPr>
      </w:pPr>
      <w:r w:rsidRPr="00860A2F">
        <w:rPr>
          <w:rFonts w:cstheme="minorHAnsi"/>
          <w:b/>
          <w:bCs/>
          <w:lang w:val="en-GB"/>
        </w:rPr>
        <w:t>justified</w:t>
      </w:r>
      <w:r>
        <w:rPr>
          <w:rFonts w:cstheme="minorHAnsi"/>
          <w:lang w:val="en-GB"/>
        </w:rPr>
        <w:t>, through a study on the additional costs of doing business in islands underpinned by Eurostat data;</w:t>
      </w:r>
    </w:p>
    <w:p w14:paraId="7B0B5D0D" w14:textId="027D3DE7" w:rsidR="00B07D5B" w:rsidRDefault="00B07D5B" w:rsidP="00B07D5B">
      <w:pPr>
        <w:pStyle w:val="ListParagraph"/>
        <w:numPr>
          <w:ilvl w:val="0"/>
          <w:numId w:val="15"/>
        </w:numPr>
        <w:spacing w:after="0"/>
        <w:jc w:val="both"/>
        <w:rPr>
          <w:rFonts w:cstheme="minorHAnsi"/>
          <w:lang w:val="en-GB"/>
        </w:rPr>
      </w:pPr>
      <w:r>
        <w:rPr>
          <w:rFonts w:cstheme="minorHAnsi"/>
          <w:b/>
          <w:bCs/>
          <w:lang w:val="en-GB"/>
        </w:rPr>
        <w:t xml:space="preserve">targeted, </w:t>
      </w:r>
      <w:r w:rsidRPr="00860A2F">
        <w:rPr>
          <w:rFonts w:cstheme="minorHAnsi"/>
          <w:lang w:val="en-GB"/>
        </w:rPr>
        <w:t>in terms of focusing on business</w:t>
      </w:r>
      <w:r>
        <w:rPr>
          <w:rFonts w:cstheme="minorHAnsi"/>
          <w:lang w:val="en-GB"/>
        </w:rPr>
        <w:t xml:space="preserve"> that operate in key thematic areas that are the centre of policy objectives at the level of island regional needs and development of the EU as a whole;</w:t>
      </w:r>
    </w:p>
    <w:p w14:paraId="19BC6784" w14:textId="25A30323" w:rsidR="00B07D5B" w:rsidRDefault="00B07D5B" w:rsidP="00B07D5B">
      <w:pPr>
        <w:pStyle w:val="ListParagraph"/>
        <w:numPr>
          <w:ilvl w:val="0"/>
          <w:numId w:val="15"/>
        </w:numPr>
        <w:spacing w:after="0"/>
        <w:jc w:val="both"/>
        <w:rPr>
          <w:rFonts w:cstheme="minorHAnsi"/>
          <w:lang w:val="en-GB"/>
        </w:rPr>
      </w:pPr>
      <w:r>
        <w:rPr>
          <w:rFonts w:cstheme="minorHAnsi"/>
          <w:b/>
          <w:bCs/>
          <w:lang w:val="en-GB"/>
        </w:rPr>
        <w:t xml:space="preserve">proportionate, </w:t>
      </w:r>
      <w:r>
        <w:rPr>
          <w:rFonts w:cstheme="minorHAnsi"/>
          <w:lang w:val="en-GB"/>
        </w:rPr>
        <w:t>by allowing for a maximum budget per island territory in the extent to which the flexibility of the de minimis amount is to be applied;</w:t>
      </w:r>
    </w:p>
    <w:p w14:paraId="56068CC5" w14:textId="74D91F1E" w:rsidR="00B07D5B" w:rsidRPr="00B07D5B" w:rsidRDefault="00B07D5B" w:rsidP="00860A2F">
      <w:pPr>
        <w:pStyle w:val="ListParagraph"/>
        <w:numPr>
          <w:ilvl w:val="0"/>
          <w:numId w:val="15"/>
        </w:numPr>
        <w:spacing w:after="0"/>
        <w:jc w:val="both"/>
        <w:rPr>
          <w:rFonts w:cstheme="minorHAnsi"/>
          <w:lang w:val="en-GB"/>
        </w:rPr>
      </w:pPr>
      <w:r>
        <w:rPr>
          <w:rFonts w:cstheme="minorHAnsi"/>
          <w:b/>
          <w:bCs/>
          <w:lang w:val="en-GB"/>
        </w:rPr>
        <w:t>efficient</w:t>
      </w:r>
      <w:r>
        <w:rPr>
          <w:rFonts w:cstheme="minorHAnsi"/>
          <w:lang w:val="en-GB"/>
        </w:rPr>
        <w:t xml:space="preserve">, in providing </w:t>
      </w:r>
      <w:r w:rsidR="00A53FF2">
        <w:rPr>
          <w:rFonts w:cstheme="minorHAnsi"/>
          <w:lang w:val="en-GB"/>
        </w:rPr>
        <w:t xml:space="preserve">dynamic </w:t>
      </w:r>
      <w:r>
        <w:rPr>
          <w:rFonts w:cstheme="minorHAnsi"/>
          <w:lang w:val="en-GB"/>
        </w:rPr>
        <w:t xml:space="preserve">incentives for reduced dependence on aid </w:t>
      </w:r>
      <w:r w:rsidR="000157F8">
        <w:rPr>
          <w:rFonts w:cstheme="minorHAnsi"/>
          <w:lang w:val="en-GB"/>
        </w:rPr>
        <w:t>through a tapering mechanism</w:t>
      </w:r>
      <w:r w:rsidR="00A53FF2">
        <w:rPr>
          <w:rFonts w:cstheme="minorHAnsi"/>
          <w:lang w:val="en-GB"/>
        </w:rPr>
        <w:t xml:space="preserve">, </w:t>
      </w:r>
      <w:r w:rsidR="00A53FF2" w:rsidRPr="00CC7884">
        <w:rPr>
          <w:rFonts w:cstheme="minorHAnsi"/>
          <w:lang w:val="en-GB"/>
        </w:rPr>
        <w:t>together with increased incentives for the growth of micro firms</w:t>
      </w:r>
      <w:r w:rsidR="000157F8" w:rsidRPr="00CC7884">
        <w:rPr>
          <w:rFonts w:cstheme="minorHAnsi"/>
          <w:lang w:val="en-GB"/>
        </w:rPr>
        <w:t>.</w:t>
      </w:r>
    </w:p>
    <w:p w14:paraId="7B4B9F9D" w14:textId="79BC25F6" w:rsidR="00FF0C77" w:rsidRDefault="00FF0C77" w:rsidP="006F5716">
      <w:pPr>
        <w:spacing w:after="0"/>
        <w:jc w:val="both"/>
        <w:rPr>
          <w:rFonts w:cstheme="minorHAnsi"/>
          <w:lang w:val="en-GB"/>
        </w:rPr>
      </w:pPr>
    </w:p>
    <w:p w14:paraId="06AE6206" w14:textId="488BA7F3" w:rsidR="00FF0C77" w:rsidRDefault="00B07D5B" w:rsidP="00A53FF2">
      <w:pPr>
        <w:spacing w:after="0"/>
        <w:jc w:val="both"/>
        <w:rPr>
          <w:lang w:val="en-GB"/>
        </w:rPr>
      </w:pPr>
      <w:r>
        <w:rPr>
          <w:rFonts w:cstheme="minorHAnsi"/>
          <w:lang w:val="en-GB"/>
        </w:rPr>
        <w:t>All of the above characterist</w:t>
      </w:r>
      <w:r w:rsidR="000157F8">
        <w:rPr>
          <w:rFonts w:cstheme="minorHAnsi"/>
          <w:lang w:val="en-GB"/>
        </w:rPr>
        <w:t>ic</w:t>
      </w:r>
      <w:r>
        <w:rPr>
          <w:rFonts w:cstheme="minorHAnsi"/>
          <w:lang w:val="en-GB"/>
        </w:rPr>
        <w:t xml:space="preserve">s are intended for the </w:t>
      </w:r>
      <w:r w:rsidR="000157F8">
        <w:rPr>
          <w:rFonts w:cstheme="minorHAnsi"/>
          <w:lang w:val="en-GB"/>
        </w:rPr>
        <w:t xml:space="preserve">flexibility </w:t>
      </w:r>
      <w:r>
        <w:rPr>
          <w:rFonts w:cstheme="minorHAnsi"/>
          <w:lang w:val="en-GB"/>
        </w:rPr>
        <w:t>measure to achieve its business development objec</w:t>
      </w:r>
      <w:r w:rsidR="000157F8">
        <w:rPr>
          <w:rFonts w:cstheme="minorHAnsi"/>
          <w:lang w:val="en-GB"/>
        </w:rPr>
        <w:t>t</w:t>
      </w:r>
      <w:r>
        <w:rPr>
          <w:rFonts w:cstheme="minorHAnsi"/>
          <w:lang w:val="en-GB"/>
        </w:rPr>
        <w:t>i</w:t>
      </w:r>
      <w:r w:rsidR="000157F8">
        <w:rPr>
          <w:rFonts w:cstheme="minorHAnsi"/>
          <w:lang w:val="en-GB"/>
        </w:rPr>
        <w:t>v</w:t>
      </w:r>
      <w:r>
        <w:rPr>
          <w:rFonts w:cstheme="minorHAnsi"/>
          <w:lang w:val="en-GB"/>
        </w:rPr>
        <w:t>es w</w:t>
      </w:r>
      <w:r w:rsidR="000157F8">
        <w:rPr>
          <w:rFonts w:cstheme="minorHAnsi"/>
          <w:lang w:val="en-GB"/>
        </w:rPr>
        <w:t>ithout imposing any undue interference on the Single Market.</w:t>
      </w:r>
      <w:r w:rsidR="00FF0C77">
        <w:rPr>
          <w:lang w:val="en-GB"/>
        </w:rPr>
        <w:br w:type="page"/>
      </w:r>
    </w:p>
    <w:p w14:paraId="1068F5A5" w14:textId="77777777" w:rsidR="00303290" w:rsidRPr="00705EA2" w:rsidRDefault="00303290" w:rsidP="00303290">
      <w:pPr>
        <w:spacing w:after="0" w:line="240" w:lineRule="auto"/>
        <w:jc w:val="both"/>
        <w:rPr>
          <w:rFonts w:cstheme="minorHAnsi"/>
          <w:b/>
          <w:bCs/>
          <w:sz w:val="28"/>
          <w:szCs w:val="28"/>
          <w:lang w:val="en-GB"/>
        </w:rPr>
      </w:pPr>
      <w:r w:rsidRPr="00705EA2">
        <w:rPr>
          <w:rFonts w:cstheme="minorHAnsi"/>
          <w:b/>
          <w:bCs/>
          <w:sz w:val="28"/>
          <w:szCs w:val="28"/>
          <w:lang w:val="en-GB"/>
        </w:rPr>
        <w:t>Bibliography</w:t>
      </w:r>
    </w:p>
    <w:p w14:paraId="25A470E4" w14:textId="77777777" w:rsidR="00303290" w:rsidRDefault="00303290" w:rsidP="00303290">
      <w:pPr>
        <w:spacing w:after="0" w:line="240" w:lineRule="auto"/>
        <w:jc w:val="both"/>
        <w:rPr>
          <w:rFonts w:cstheme="minorHAnsi"/>
          <w:b/>
          <w:bCs/>
          <w:lang w:val="en-GB"/>
        </w:rPr>
      </w:pPr>
    </w:p>
    <w:p w14:paraId="308BAC47" w14:textId="77777777" w:rsidR="00303290" w:rsidRPr="00705EA2" w:rsidRDefault="00303290" w:rsidP="00303290">
      <w:pPr>
        <w:spacing w:after="0" w:line="240" w:lineRule="auto"/>
        <w:jc w:val="both"/>
        <w:rPr>
          <w:rFonts w:cstheme="minorHAnsi"/>
          <w:b/>
          <w:bCs/>
          <w:sz w:val="2"/>
          <w:szCs w:val="2"/>
          <w:lang w:val="en-GB"/>
        </w:rPr>
      </w:pPr>
    </w:p>
    <w:p w14:paraId="795CE446" w14:textId="77777777" w:rsidR="00303290" w:rsidRPr="00705EA2" w:rsidRDefault="00303290" w:rsidP="00303290">
      <w:pPr>
        <w:spacing w:after="0" w:line="360" w:lineRule="auto"/>
        <w:jc w:val="both"/>
        <w:rPr>
          <w:rFonts w:eastAsia="Times New Roman" w:cstheme="minorHAnsi"/>
          <w:sz w:val="2"/>
          <w:szCs w:val="2"/>
          <w:lang w:val="en-US" w:eastAsia="en-GB"/>
        </w:rPr>
      </w:pPr>
    </w:p>
    <w:p w14:paraId="76F0EF19" w14:textId="5A316962" w:rsidR="00911FCD" w:rsidRPr="00860A2F" w:rsidRDefault="00911FCD" w:rsidP="0064277B">
      <w:pPr>
        <w:spacing w:after="0" w:line="240" w:lineRule="auto"/>
        <w:jc w:val="both"/>
        <w:rPr>
          <w:rFonts w:eastAsia="Times New Roman" w:cstheme="minorHAnsi"/>
          <w:lang w:val="en-US" w:eastAsia="en-GB"/>
        </w:rPr>
      </w:pPr>
      <w:r>
        <w:rPr>
          <w:rFonts w:eastAsia="Times New Roman" w:cstheme="minorHAnsi"/>
          <w:lang w:val="en-US" w:eastAsia="en-GB"/>
        </w:rPr>
        <w:t xml:space="preserve">Briguglio (2004), </w:t>
      </w:r>
      <w:r w:rsidRPr="00860A2F">
        <w:rPr>
          <w:rFonts w:eastAsia="Times New Roman" w:cstheme="minorHAnsi"/>
          <w:lang w:val="en-US" w:eastAsia="en-GB"/>
        </w:rPr>
        <w:t>Small Island Developing States and their Economic Vulnerabilities</w:t>
      </w:r>
    </w:p>
    <w:p w14:paraId="0122EC7A" w14:textId="77777777" w:rsidR="00911FCD" w:rsidRDefault="00911FCD" w:rsidP="0064277B">
      <w:pPr>
        <w:spacing w:after="0" w:line="240" w:lineRule="auto"/>
        <w:jc w:val="both"/>
        <w:rPr>
          <w:b/>
          <w:bCs/>
          <w:color w:val="000000"/>
          <w:sz w:val="28"/>
          <w:szCs w:val="28"/>
        </w:rPr>
      </w:pPr>
    </w:p>
    <w:p w14:paraId="051884A2" w14:textId="1F153E3D" w:rsidR="0064277B" w:rsidRPr="0064277B" w:rsidRDefault="0064277B" w:rsidP="00860A2F">
      <w:pPr>
        <w:spacing w:after="0" w:line="240" w:lineRule="auto"/>
        <w:jc w:val="both"/>
        <w:rPr>
          <w:rFonts w:eastAsia="Times New Roman" w:cstheme="minorHAnsi"/>
          <w:lang w:val="en-US" w:eastAsia="en-GB"/>
        </w:rPr>
      </w:pPr>
      <w:r w:rsidRPr="0064277B">
        <w:rPr>
          <w:rFonts w:eastAsia="Times New Roman" w:cstheme="minorHAnsi"/>
          <w:lang w:val="en-US" w:eastAsia="en-GB"/>
        </w:rPr>
        <w:t xml:space="preserve">Camilleri, M., Formosa, S., Galea, R., &amp; Moncada, S. (2009). </w:t>
      </w:r>
      <w:r w:rsidRPr="00860A2F">
        <w:rPr>
          <w:rFonts w:eastAsia="Times New Roman" w:cstheme="minorHAnsi"/>
          <w:i/>
          <w:iCs/>
          <w:lang w:val="en-US" w:eastAsia="en-GB"/>
        </w:rPr>
        <w:t>Islands at the periphery: integrating the challenges of island sustainability into European policy.</w:t>
      </w:r>
      <w:r w:rsidRPr="0064277B">
        <w:rPr>
          <w:rFonts w:eastAsia="Times New Roman" w:cstheme="minorHAnsi"/>
          <w:lang w:val="en-US" w:eastAsia="en-GB"/>
        </w:rPr>
        <w:t xml:space="preserve"> In Xuereb P. G. (ed.), Malta in the European Union: five years on and looking to the future. </w:t>
      </w:r>
    </w:p>
    <w:p w14:paraId="194533DF" w14:textId="3968DFE6" w:rsidR="0064277B" w:rsidRDefault="0064277B" w:rsidP="00303290">
      <w:pPr>
        <w:spacing w:after="0" w:line="360" w:lineRule="auto"/>
        <w:jc w:val="both"/>
        <w:rPr>
          <w:rFonts w:ascii="Arial" w:hAnsi="Arial" w:cs="Arial"/>
          <w:color w:val="333333"/>
          <w:sz w:val="21"/>
          <w:szCs w:val="21"/>
        </w:rPr>
      </w:pPr>
    </w:p>
    <w:p w14:paraId="07623CB8" w14:textId="362F697D" w:rsidR="00051B12" w:rsidRPr="00860A2F" w:rsidRDefault="00051B12" w:rsidP="00860A2F">
      <w:pPr>
        <w:spacing w:after="0"/>
        <w:jc w:val="both"/>
        <w:rPr>
          <w:rFonts w:cstheme="minorHAnsi"/>
          <w:color w:val="333333"/>
          <w:lang w:val="en-GB"/>
        </w:rPr>
      </w:pPr>
      <w:r w:rsidRPr="00860A2F">
        <w:rPr>
          <w:rFonts w:cstheme="minorHAnsi"/>
          <w:color w:val="333333"/>
        </w:rPr>
        <w:t>Cordina, G. (2008). Economic resilience and market efﬁciency in small states. In L. Briguglio, G.</w:t>
      </w:r>
      <w:r w:rsidRPr="00860A2F">
        <w:rPr>
          <w:rFonts w:cstheme="minorHAnsi"/>
          <w:color w:val="333333"/>
          <w:lang w:val="en-GB"/>
        </w:rPr>
        <w:t xml:space="preserve"> Cordina, N. Farrugia, &amp; C. Vigilance (Eds.),Small states and the pillars of economic resilience (pp. 131-143). Malta and London: University of Malta and Commonwealth Secretariat.</w:t>
      </w:r>
    </w:p>
    <w:p w14:paraId="0CC9AC14" w14:textId="77777777" w:rsidR="00051B12" w:rsidRDefault="00051B12" w:rsidP="00303290">
      <w:pPr>
        <w:spacing w:after="0" w:line="360" w:lineRule="auto"/>
        <w:jc w:val="both"/>
        <w:rPr>
          <w:rFonts w:ascii="Arial" w:hAnsi="Arial" w:cs="Arial"/>
          <w:color w:val="333333"/>
          <w:sz w:val="21"/>
          <w:szCs w:val="21"/>
        </w:rPr>
      </w:pPr>
    </w:p>
    <w:p w14:paraId="7BAE5261" w14:textId="3A819BDD" w:rsidR="00303290" w:rsidRPr="00705EA2" w:rsidRDefault="00303290" w:rsidP="00303290">
      <w:pPr>
        <w:spacing w:after="0" w:line="360" w:lineRule="auto"/>
        <w:jc w:val="both"/>
        <w:rPr>
          <w:rFonts w:eastAsia="Times New Roman" w:cstheme="minorHAnsi"/>
          <w:lang w:val="en-US" w:eastAsia="en-GB"/>
        </w:rPr>
      </w:pPr>
      <w:r w:rsidRPr="00705EA2">
        <w:rPr>
          <w:rFonts w:eastAsia="Times New Roman" w:cstheme="minorHAnsi"/>
          <w:lang w:val="en-US" w:eastAsia="en-GB"/>
        </w:rPr>
        <w:t xml:space="preserve">CPMR Islands Commission (2012), </w:t>
      </w:r>
      <w:r w:rsidRPr="00705EA2">
        <w:rPr>
          <w:rFonts w:eastAsia="Times New Roman" w:cstheme="minorHAnsi"/>
          <w:i/>
          <w:iCs/>
          <w:lang w:val="en-US" w:eastAsia="en-GB"/>
        </w:rPr>
        <w:t>EU Cohesion Policy and Islands 2014-2020</w:t>
      </w:r>
    </w:p>
    <w:p w14:paraId="699B444E" w14:textId="77777777" w:rsidR="00303290" w:rsidRPr="00705EA2" w:rsidRDefault="00303290" w:rsidP="00303290">
      <w:pPr>
        <w:spacing w:after="0" w:line="240" w:lineRule="auto"/>
        <w:jc w:val="both"/>
        <w:rPr>
          <w:rFonts w:eastAsia="Times New Roman" w:cstheme="minorHAnsi"/>
          <w:color w:val="000000"/>
          <w:shd w:val="clear" w:color="auto" w:fill="FFFFFF"/>
          <w:lang w:val="en-US" w:eastAsia="en-GB"/>
        </w:rPr>
      </w:pPr>
    </w:p>
    <w:p w14:paraId="049841ED" w14:textId="77777777" w:rsidR="00303290" w:rsidRPr="00705EA2" w:rsidRDefault="00303290" w:rsidP="00303290">
      <w:pPr>
        <w:spacing w:after="0" w:line="240" w:lineRule="auto"/>
        <w:jc w:val="both"/>
        <w:rPr>
          <w:rFonts w:eastAsia="Times New Roman" w:cstheme="minorHAnsi"/>
          <w:i/>
          <w:iCs/>
          <w:color w:val="000000"/>
          <w:shd w:val="clear" w:color="auto" w:fill="FFFFFF"/>
          <w:lang w:val="en-US" w:eastAsia="en-GB"/>
        </w:rPr>
      </w:pPr>
      <w:r w:rsidRPr="00705EA2">
        <w:rPr>
          <w:rFonts w:eastAsia="Times New Roman" w:cstheme="minorHAnsi"/>
          <w:color w:val="000000"/>
          <w:shd w:val="clear" w:color="auto" w:fill="FFFFFF"/>
          <w:lang w:val="en-US" w:eastAsia="en-GB"/>
        </w:rPr>
        <w:t xml:space="preserve">CPMR Islands Commission (2017), </w:t>
      </w:r>
      <w:r w:rsidRPr="00705EA2">
        <w:rPr>
          <w:rFonts w:eastAsia="Times New Roman" w:cstheme="minorHAnsi"/>
          <w:i/>
          <w:iCs/>
          <w:color w:val="000000"/>
          <w:shd w:val="clear" w:color="auto" w:fill="FFFFFF"/>
          <w:lang w:val="en-US" w:eastAsia="en-GB"/>
        </w:rPr>
        <w:t>Perspectives of Islands Commission Action on State Aid</w:t>
      </w:r>
    </w:p>
    <w:p w14:paraId="6025CF8D" w14:textId="77777777" w:rsidR="00303290" w:rsidRPr="00705EA2" w:rsidRDefault="00303290" w:rsidP="00303290">
      <w:pPr>
        <w:spacing w:after="0" w:line="240" w:lineRule="auto"/>
        <w:jc w:val="both"/>
        <w:rPr>
          <w:rFonts w:eastAsia="Times New Roman" w:cstheme="minorHAnsi"/>
          <w:color w:val="000000"/>
          <w:shd w:val="clear" w:color="auto" w:fill="FFFFFF"/>
          <w:lang w:val="en-US" w:eastAsia="en-GB"/>
        </w:rPr>
      </w:pPr>
    </w:p>
    <w:p w14:paraId="259845BE" w14:textId="77777777" w:rsidR="00303290" w:rsidRPr="00705EA2" w:rsidRDefault="00303290" w:rsidP="00303290">
      <w:pPr>
        <w:spacing w:after="0" w:line="240" w:lineRule="auto"/>
        <w:jc w:val="both"/>
        <w:rPr>
          <w:rFonts w:eastAsia="Times New Roman" w:cstheme="minorHAnsi"/>
          <w:lang w:val="en-US" w:eastAsia="en-GB"/>
        </w:rPr>
      </w:pPr>
      <w:r w:rsidRPr="00705EA2">
        <w:rPr>
          <w:rFonts w:eastAsia="Times New Roman" w:cstheme="minorHAnsi"/>
          <w:color w:val="000000"/>
          <w:shd w:val="clear" w:color="auto" w:fill="FFFFFF"/>
          <w:lang w:val="en-US" w:eastAsia="en-GB"/>
        </w:rPr>
        <w:t xml:space="preserve">ESPON (2013), </w:t>
      </w:r>
      <w:r w:rsidRPr="00705EA2">
        <w:rPr>
          <w:rFonts w:eastAsia="Times New Roman" w:cstheme="minorHAnsi"/>
          <w:i/>
          <w:iCs/>
          <w:color w:val="000000"/>
          <w:shd w:val="clear" w:color="auto" w:fill="FFFFFF"/>
          <w:lang w:val="en-US" w:eastAsia="en-GB"/>
        </w:rPr>
        <w:t>The ESPON 2013 Programme The Development of the Islands – European Islands and Cohesion Policy (EUROISLANDS)</w:t>
      </w:r>
    </w:p>
    <w:p w14:paraId="5DB8449E" w14:textId="77777777" w:rsidR="00303290" w:rsidRPr="00705EA2" w:rsidRDefault="00303290" w:rsidP="00303290">
      <w:pPr>
        <w:spacing w:after="0" w:line="240" w:lineRule="auto"/>
        <w:jc w:val="both"/>
        <w:rPr>
          <w:rFonts w:eastAsia="Times New Roman" w:cstheme="minorHAnsi"/>
          <w:lang w:val="en-US" w:eastAsia="en-GB"/>
        </w:rPr>
      </w:pPr>
    </w:p>
    <w:p w14:paraId="012D3CE4" w14:textId="77777777" w:rsidR="00303290" w:rsidRPr="00705EA2" w:rsidRDefault="00303290" w:rsidP="00303290">
      <w:pPr>
        <w:spacing w:after="0" w:line="240" w:lineRule="auto"/>
        <w:jc w:val="both"/>
        <w:rPr>
          <w:rFonts w:eastAsia="Times New Roman" w:cstheme="minorHAnsi"/>
          <w:i/>
          <w:iCs/>
          <w:color w:val="000000"/>
          <w:shd w:val="clear" w:color="auto" w:fill="FFFFFF"/>
          <w:lang w:val="en-US" w:eastAsia="en-GB"/>
        </w:rPr>
      </w:pPr>
      <w:r w:rsidRPr="00705EA2">
        <w:rPr>
          <w:rFonts w:eastAsia="Times New Roman" w:cstheme="minorHAnsi"/>
          <w:color w:val="000000"/>
          <w:shd w:val="clear" w:color="auto" w:fill="FFFFFF"/>
          <w:lang w:val="en-US" w:eastAsia="en-GB"/>
        </w:rPr>
        <w:t xml:space="preserve">ESPON Bridges (2019), </w:t>
      </w:r>
      <w:r w:rsidRPr="00705EA2">
        <w:rPr>
          <w:rFonts w:eastAsia="Times New Roman" w:cstheme="minorHAnsi"/>
          <w:i/>
          <w:iCs/>
          <w:color w:val="000000"/>
          <w:shd w:val="clear" w:color="auto" w:fill="FFFFFF"/>
          <w:lang w:val="en-US" w:eastAsia="en-GB"/>
        </w:rPr>
        <w:t xml:space="preserve">Balanced Regional Development in Areas with Geographic Specificities </w:t>
      </w:r>
    </w:p>
    <w:p w14:paraId="3F85A1FD" w14:textId="77777777" w:rsidR="00303290" w:rsidRPr="00705EA2" w:rsidRDefault="00303290" w:rsidP="00303290">
      <w:pPr>
        <w:spacing w:after="0" w:line="240" w:lineRule="auto"/>
        <w:jc w:val="both"/>
        <w:rPr>
          <w:rFonts w:eastAsia="Times New Roman" w:cstheme="minorHAnsi"/>
          <w:color w:val="000000"/>
          <w:shd w:val="clear" w:color="auto" w:fill="FFFFFF"/>
          <w:lang w:val="en-US" w:eastAsia="en-GB"/>
        </w:rPr>
      </w:pPr>
    </w:p>
    <w:p w14:paraId="04A4325E" w14:textId="77777777" w:rsidR="00303290" w:rsidRPr="00705EA2" w:rsidRDefault="00303290" w:rsidP="00303290">
      <w:pPr>
        <w:spacing w:after="0" w:line="240" w:lineRule="auto"/>
        <w:jc w:val="both"/>
        <w:rPr>
          <w:rFonts w:eastAsia="Times New Roman" w:cstheme="minorHAnsi"/>
          <w:i/>
          <w:iCs/>
          <w:color w:val="000000"/>
          <w:shd w:val="clear" w:color="auto" w:fill="FFFFFF"/>
          <w:lang w:val="en-US" w:eastAsia="en-GB"/>
        </w:rPr>
      </w:pPr>
      <w:r w:rsidRPr="00705EA2">
        <w:rPr>
          <w:rFonts w:eastAsia="Times New Roman" w:cstheme="minorHAnsi"/>
          <w:color w:val="000000"/>
          <w:shd w:val="clear" w:color="auto" w:fill="FFFFFF"/>
          <w:lang w:val="en-US" w:eastAsia="en-GB"/>
        </w:rPr>
        <w:t xml:space="preserve">ESPON (2012), </w:t>
      </w:r>
      <w:r w:rsidRPr="00705EA2">
        <w:rPr>
          <w:rFonts w:eastAsia="Times New Roman" w:cstheme="minorHAnsi"/>
          <w:i/>
          <w:iCs/>
          <w:color w:val="000000"/>
          <w:shd w:val="clear" w:color="auto" w:fill="FFFFFF"/>
          <w:lang w:val="en-US" w:eastAsia="en-GB"/>
        </w:rPr>
        <w:t>European Perspective on Specific types of territories</w:t>
      </w:r>
    </w:p>
    <w:p w14:paraId="2A2CFBB8" w14:textId="77777777" w:rsidR="00303290" w:rsidRPr="00705EA2" w:rsidRDefault="00303290" w:rsidP="00303290">
      <w:pPr>
        <w:spacing w:after="0" w:line="240" w:lineRule="auto"/>
        <w:jc w:val="both"/>
        <w:rPr>
          <w:rFonts w:eastAsia="Times New Roman" w:cstheme="minorHAnsi"/>
          <w:color w:val="000000"/>
          <w:shd w:val="clear" w:color="auto" w:fill="FFFFFF"/>
          <w:lang w:val="en-US" w:eastAsia="en-GB"/>
        </w:rPr>
      </w:pPr>
    </w:p>
    <w:p w14:paraId="1AC184D5" w14:textId="0D015BD7" w:rsidR="00303290" w:rsidRPr="00705EA2" w:rsidRDefault="00303290" w:rsidP="00303290">
      <w:pPr>
        <w:spacing w:after="0" w:line="240" w:lineRule="auto"/>
        <w:jc w:val="both"/>
        <w:rPr>
          <w:rFonts w:eastAsia="Times New Roman" w:cstheme="minorHAnsi"/>
          <w:lang w:val="en-US" w:eastAsia="en-GB"/>
        </w:rPr>
      </w:pPr>
      <w:r w:rsidRPr="00705EA2">
        <w:rPr>
          <w:rFonts w:eastAsia="Times New Roman" w:cstheme="minorHAnsi"/>
          <w:color w:val="000000"/>
          <w:shd w:val="clear" w:color="auto" w:fill="FFFFFF"/>
          <w:lang w:val="en-US" w:eastAsia="en-GB"/>
        </w:rPr>
        <w:t>European Commission (2008)</w:t>
      </w:r>
      <w:r w:rsidR="0064277B">
        <w:rPr>
          <w:rFonts w:eastAsia="Times New Roman" w:cstheme="minorHAnsi"/>
          <w:color w:val="000000"/>
          <w:shd w:val="clear" w:color="auto" w:fill="FFFFFF"/>
          <w:lang w:val="en-US" w:eastAsia="en-GB"/>
        </w:rPr>
        <w:t>,</w:t>
      </w:r>
      <w:r w:rsidRPr="00705EA2">
        <w:rPr>
          <w:rFonts w:eastAsia="Times New Roman" w:cstheme="minorHAnsi"/>
          <w:color w:val="000000"/>
          <w:shd w:val="clear" w:color="auto" w:fill="FFFFFF"/>
          <w:lang w:val="en-US" w:eastAsia="en-GB"/>
        </w:rPr>
        <w:t xml:space="preserve"> - PRESS RELEASES - Press release - State aid: what is possible under EU rules– an overview</w:t>
      </w:r>
    </w:p>
    <w:p w14:paraId="0D11A1B2" w14:textId="77777777" w:rsidR="00303290" w:rsidRPr="00705EA2" w:rsidRDefault="00303290" w:rsidP="00303290">
      <w:pPr>
        <w:spacing w:after="0" w:line="240" w:lineRule="auto"/>
        <w:jc w:val="both"/>
        <w:rPr>
          <w:rFonts w:eastAsia="Times New Roman" w:cstheme="minorHAnsi"/>
          <w:color w:val="000000"/>
          <w:shd w:val="clear" w:color="auto" w:fill="FFFFFF"/>
          <w:lang w:val="en-US" w:eastAsia="en-GB"/>
        </w:rPr>
      </w:pPr>
    </w:p>
    <w:p w14:paraId="7E597E24" w14:textId="666D246C" w:rsidR="00073E41" w:rsidRPr="00860A2F" w:rsidRDefault="00073E41" w:rsidP="00303290">
      <w:pPr>
        <w:spacing w:after="0" w:line="240" w:lineRule="auto"/>
        <w:jc w:val="both"/>
        <w:rPr>
          <w:rFonts w:eastAsia="Times New Roman" w:cstheme="minorHAnsi"/>
          <w:i/>
          <w:iCs/>
          <w:color w:val="000000"/>
          <w:u w:val="single"/>
          <w:shd w:val="clear" w:color="auto" w:fill="FFFFFF"/>
          <w:lang w:val="en-US" w:eastAsia="en-GB"/>
        </w:rPr>
      </w:pPr>
      <w:r>
        <w:rPr>
          <w:rFonts w:eastAsia="Times New Roman" w:cstheme="minorHAnsi"/>
          <w:color w:val="000000"/>
          <w:shd w:val="clear" w:color="auto" w:fill="FFFFFF"/>
          <w:lang w:val="en-US" w:eastAsia="en-GB"/>
        </w:rPr>
        <w:t>European Commission Press Release (2013</w:t>
      </w:r>
      <w:r w:rsidRPr="00860A2F">
        <w:rPr>
          <w:rFonts w:eastAsia="Times New Roman" w:cstheme="minorHAnsi"/>
          <w:i/>
          <w:iCs/>
          <w:color w:val="000000"/>
          <w:u w:val="single"/>
          <w:shd w:val="clear" w:color="auto" w:fill="FFFFFF"/>
          <w:lang w:val="en-US" w:eastAsia="en-GB"/>
        </w:rPr>
        <w:t xml:space="preserve">), </w:t>
      </w:r>
      <w:r w:rsidRPr="00860A2F">
        <w:rPr>
          <w:rFonts w:cstheme="minorHAnsi"/>
          <w:i/>
          <w:iCs/>
          <w:color w:val="000000"/>
          <w:u w:val="single"/>
        </w:rPr>
        <w:t>State Aid: Commission adopts revised exemption for small aid amounts (</w:t>
      </w:r>
      <w:r w:rsidRPr="00860A2F">
        <w:rPr>
          <w:rStyle w:val="at1"/>
          <w:rFonts w:cstheme="minorHAnsi"/>
          <w:i/>
          <w:iCs/>
          <w:color w:val="000000"/>
          <w:u w:val="single"/>
          <w:bdr w:val="none" w:sz="0" w:space="0" w:color="auto" w:frame="1"/>
        </w:rPr>
        <w:t>de minimis</w:t>
      </w:r>
      <w:r w:rsidRPr="00860A2F">
        <w:rPr>
          <w:rFonts w:cstheme="minorHAnsi"/>
          <w:i/>
          <w:iCs/>
          <w:color w:val="000000"/>
          <w:u w:val="single"/>
        </w:rPr>
        <w:t xml:space="preserve"> Regulation)</w:t>
      </w:r>
    </w:p>
    <w:p w14:paraId="7598091C" w14:textId="77777777" w:rsidR="00073E41" w:rsidRDefault="00073E41" w:rsidP="00303290">
      <w:pPr>
        <w:spacing w:after="0" w:line="240" w:lineRule="auto"/>
        <w:jc w:val="both"/>
        <w:rPr>
          <w:rFonts w:eastAsia="Times New Roman" w:cstheme="minorHAnsi"/>
          <w:color w:val="000000"/>
          <w:shd w:val="clear" w:color="auto" w:fill="FFFFFF"/>
          <w:lang w:val="en-US" w:eastAsia="en-GB"/>
        </w:rPr>
      </w:pPr>
    </w:p>
    <w:p w14:paraId="17DCE139" w14:textId="4A49358C" w:rsidR="0064277B" w:rsidRPr="00D2080D" w:rsidRDefault="0064277B" w:rsidP="00303290">
      <w:pPr>
        <w:spacing w:after="0" w:line="240" w:lineRule="auto"/>
        <w:jc w:val="both"/>
        <w:rPr>
          <w:rFonts w:eastAsia="Times New Roman" w:cstheme="minorHAnsi"/>
          <w:i/>
          <w:iCs/>
          <w:color w:val="000000"/>
          <w:shd w:val="clear" w:color="auto" w:fill="FFFFFF"/>
          <w:lang w:val="en-US" w:eastAsia="en-GB"/>
        </w:rPr>
      </w:pPr>
      <w:r>
        <w:rPr>
          <w:rFonts w:eastAsia="Times New Roman" w:cstheme="minorHAnsi"/>
          <w:color w:val="000000"/>
          <w:shd w:val="clear" w:color="auto" w:fill="FFFFFF"/>
          <w:lang w:val="en-US" w:eastAsia="en-GB"/>
        </w:rPr>
        <w:t xml:space="preserve">European Economic and Social Council (2017), </w:t>
      </w:r>
      <w:r w:rsidRPr="00D2080D">
        <w:rPr>
          <w:rFonts w:eastAsia="Times New Roman" w:cstheme="minorHAnsi"/>
          <w:i/>
          <w:iCs/>
          <w:color w:val="000000"/>
          <w:shd w:val="clear" w:color="auto" w:fill="FFFFFF"/>
          <w:lang w:val="en-US" w:eastAsia="en-GB"/>
        </w:rPr>
        <w:t>From structural handicap to inclusive territory</w:t>
      </w:r>
    </w:p>
    <w:p w14:paraId="4560F911" w14:textId="77777777" w:rsidR="0064277B" w:rsidRDefault="0064277B" w:rsidP="00303290">
      <w:pPr>
        <w:spacing w:after="0" w:line="240" w:lineRule="auto"/>
        <w:jc w:val="both"/>
        <w:rPr>
          <w:rFonts w:eastAsia="Times New Roman" w:cstheme="minorHAnsi"/>
          <w:color w:val="000000"/>
          <w:shd w:val="clear" w:color="auto" w:fill="FFFFFF"/>
          <w:lang w:val="en-US" w:eastAsia="en-GB"/>
        </w:rPr>
      </w:pPr>
    </w:p>
    <w:p w14:paraId="7874D39F" w14:textId="0FB8F378" w:rsidR="00303290" w:rsidRPr="00705EA2" w:rsidRDefault="00303290" w:rsidP="00303290">
      <w:pPr>
        <w:spacing w:after="0" w:line="240" w:lineRule="auto"/>
        <w:jc w:val="both"/>
        <w:rPr>
          <w:rFonts w:eastAsia="Times New Roman" w:cstheme="minorHAnsi"/>
          <w:color w:val="000000"/>
          <w:shd w:val="clear" w:color="auto" w:fill="FFFFFF"/>
          <w:lang w:val="en-US" w:eastAsia="en-GB"/>
        </w:rPr>
      </w:pPr>
      <w:r w:rsidRPr="00705EA2">
        <w:rPr>
          <w:rFonts w:eastAsia="Times New Roman" w:cstheme="minorHAnsi"/>
          <w:color w:val="000000"/>
          <w:shd w:val="clear" w:color="auto" w:fill="FFFFFF"/>
          <w:lang w:val="en-US" w:eastAsia="en-GB"/>
        </w:rPr>
        <w:t xml:space="preserve">European Parliament (2016), </w:t>
      </w:r>
      <w:r w:rsidRPr="00705EA2">
        <w:rPr>
          <w:rFonts w:eastAsia="Times New Roman" w:cstheme="minorHAnsi"/>
          <w:i/>
          <w:iCs/>
          <w:color w:val="000000"/>
          <w:shd w:val="clear" w:color="auto" w:fill="FFFFFF"/>
          <w:lang w:val="en-US" w:eastAsia="en-GB"/>
        </w:rPr>
        <w:t>Islands in the EU: Taking account of their specific needs in EU policy</w:t>
      </w:r>
    </w:p>
    <w:p w14:paraId="34E7702D" w14:textId="77777777" w:rsidR="00303290" w:rsidRPr="00705EA2" w:rsidRDefault="00303290" w:rsidP="00303290">
      <w:pPr>
        <w:spacing w:after="0" w:line="240" w:lineRule="auto"/>
        <w:jc w:val="both"/>
        <w:rPr>
          <w:rFonts w:eastAsia="Times New Roman" w:cstheme="minorHAnsi"/>
          <w:color w:val="000000"/>
          <w:shd w:val="clear" w:color="auto" w:fill="FFFFFF"/>
          <w:lang w:val="en-US" w:eastAsia="en-GB"/>
        </w:rPr>
      </w:pPr>
    </w:p>
    <w:p w14:paraId="2DC73A1A" w14:textId="77777777" w:rsidR="00303290" w:rsidRPr="00705EA2" w:rsidRDefault="00303290" w:rsidP="00303290">
      <w:pPr>
        <w:spacing w:after="0" w:line="240" w:lineRule="auto"/>
        <w:jc w:val="both"/>
        <w:rPr>
          <w:rFonts w:eastAsia="Times New Roman" w:cstheme="minorHAnsi"/>
          <w:color w:val="000000"/>
          <w:shd w:val="clear" w:color="auto" w:fill="FFFFFF"/>
          <w:lang w:val="en-US" w:eastAsia="en-GB"/>
        </w:rPr>
      </w:pPr>
      <w:r w:rsidRPr="00705EA2">
        <w:rPr>
          <w:rFonts w:eastAsia="Times New Roman" w:cstheme="minorHAnsi"/>
          <w:color w:val="000000"/>
          <w:shd w:val="clear" w:color="auto" w:fill="FFFFFF"/>
          <w:lang w:val="en-US" w:eastAsia="en-GB"/>
        </w:rPr>
        <w:t>Eurostat Regional Statistics by NUTS classification and Structural Business Statistics available at: https://ec.europa.eu/eurostat/data/database</w:t>
      </w:r>
    </w:p>
    <w:p w14:paraId="4F0CC36C" w14:textId="77777777" w:rsidR="00303290" w:rsidRPr="00705EA2" w:rsidRDefault="00303290" w:rsidP="00303290">
      <w:pPr>
        <w:spacing w:after="0" w:line="360" w:lineRule="auto"/>
        <w:jc w:val="both"/>
        <w:rPr>
          <w:rFonts w:eastAsia="Times New Roman" w:cstheme="minorHAnsi"/>
          <w:lang w:val="en-US" w:eastAsia="en-GB"/>
        </w:rPr>
      </w:pPr>
    </w:p>
    <w:p w14:paraId="37B1E71E" w14:textId="77777777" w:rsidR="00303290" w:rsidRPr="00705EA2" w:rsidRDefault="00303290" w:rsidP="00303290">
      <w:pPr>
        <w:spacing w:after="0" w:line="360" w:lineRule="auto"/>
        <w:jc w:val="both"/>
        <w:rPr>
          <w:rFonts w:eastAsia="Times New Roman" w:cstheme="minorHAnsi"/>
          <w:lang w:val="en-US" w:eastAsia="en-GB"/>
        </w:rPr>
      </w:pPr>
    </w:p>
    <w:p w14:paraId="3EFC3E6B" w14:textId="77777777" w:rsidR="00303290" w:rsidRPr="006F5716" w:rsidRDefault="00303290" w:rsidP="00303290">
      <w:pPr>
        <w:spacing w:line="360" w:lineRule="auto"/>
        <w:jc w:val="both"/>
        <w:rPr>
          <w:rFonts w:eastAsia="Times New Roman" w:cstheme="minorHAnsi"/>
          <w:u w:val="single"/>
          <w:lang w:val="en-US" w:eastAsia="en-GB"/>
        </w:rPr>
      </w:pPr>
      <w:r w:rsidRPr="006F5716">
        <w:rPr>
          <w:rFonts w:eastAsia="Times New Roman" w:cstheme="minorHAnsi"/>
          <w:u w:val="single"/>
          <w:lang w:val="en-US" w:eastAsia="en-GB"/>
        </w:rPr>
        <w:t>Weblinks</w:t>
      </w:r>
    </w:p>
    <w:p w14:paraId="6DF36483" w14:textId="77777777" w:rsidR="00303290" w:rsidRPr="00705EA2" w:rsidRDefault="00303290" w:rsidP="00303290">
      <w:pPr>
        <w:spacing w:after="0" w:line="240" w:lineRule="auto"/>
        <w:jc w:val="both"/>
        <w:rPr>
          <w:rStyle w:val="Hyperlink"/>
          <w:rFonts w:cstheme="minorHAnsi"/>
          <w:color w:val="1155CC"/>
        </w:rPr>
      </w:pPr>
      <w:hyperlink r:id="rId8" w:history="1">
        <w:r w:rsidRPr="00705EA2">
          <w:rPr>
            <w:rStyle w:val="Hyperlink"/>
            <w:rFonts w:cstheme="minorHAnsi"/>
            <w:color w:val="1155CC"/>
            <w:shd w:val="clear" w:color="auto" w:fill="FFFFFF"/>
          </w:rPr>
          <w:t>http://www.3amalta.com/en/articles/item/527-bov-jaime-financing-package.html</w:t>
        </w:r>
      </w:hyperlink>
    </w:p>
    <w:p w14:paraId="2D63E708" w14:textId="77777777" w:rsidR="00303290" w:rsidRPr="00705EA2" w:rsidRDefault="00303290" w:rsidP="00303290">
      <w:pPr>
        <w:spacing w:after="0" w:line="240" w:lineRule="auto"/>
        <w:jc w:val="both"/>
        <w:rPr>
          <w:rStyle w:val="Hyperlink"/>
          <w:rFonts w:cstheme="minorHAnsi"/>
          <w:color w:val="1155CC"/>
          <w:shd w:val="clear" w:color="auto" w:fill="FFFFFF"/>
        </w:rPr>
      </w:pPr>
    </w:p>
    <w:p w14:paraId="6CA2F80B" w14:textId="405B478B" w:rsidR="00303290" w:rsidRPr="00705EA2" w:rsidRDefault="0064277B" w:rsidP="00303290">
      <w:pPr>
        <w:spacing w:after="0" w:line="240" w:lineRule="auto"/>
        <w:jc w:val="both"/>
        <w:rPr>
          <w:rStyle w:val="Hyperlink"/>
          <w:rFonts w:cstheme="minorHAnsi"/>
          <w:color w:val="1155CC"/>
          <w:shd w:val="clear" w:color="auto" w:fill="FFFFFF"/>
        </w:rPr>
      </w:pPr>
      <w:hyperlink r:id="rId9" w:history="1">
        <w:r w:rsidRPr="00860A2F">
          <w:rPr>
            <w:rStyle w:val="Hyperlink"/>
            <w:rFonts w:cstheme="minorHAnsi"/>
            <w:shd w:val="clear" w:color="auto" w:fill="FFFFFF"/>
          </w:rPr>
          <w:t>http://www.europarl.europa.eu/factsheets/en/sheet/135/trans-european-networks-guidelines</w:t>
        </w:r>
      </w:hyperlink>
    </w:p>
    <w:p w14:paraId="4312AB8B" w14:textId="77777777" w:rsidR="00303290" w:rsidRPr="00705EA2" w:rsidRDefault="00303290" w:rsidP="00303290">
      <w:pPr>
        <w:spacing w:after="0" w:line="240" w:lineRule="auto"/>
        <w:jc w:val="both"/>
        <w:rPr>
          <w:rStyle w:val="Hyperlink"/>
          <w:rFonts w:cstheme="minorHAnsi"/>
          <w:color w:val="1155CC"/>
          <w:shd w:val="clear" w:color="auto" w:fill="FFFFFF"/>
        </w:rPr>
      </w:pPr>
    </w:p>
    <w:p w14:paraId="3E4BBC8D" w14:textId="77777777" w:rsidR="00303290" w:rsidRPr="00705EA2" w:rsidRDefault="00303290" w:rsidP="00303290">
      <w:pPr>
        <w:spacing w:after="0" w:line="240" w:lineRule="auto"/>
        <w:jc w:val="both"/>
        <w:rPr>
          <w:rStyle w:val="Hyperlink"/>
          <w:rFonts w:cstheme="minorHAnsi"/>
          <w:color w:val="1155CC"/>
          <w:shd w:val="clear" w:color="auto" w:fill="FFFFFF"/>
        </w:rPr>
      </w:pPr>
      <w:hyperlink r:id="rId10" w:history="1">
        <w:r w:rsidRPr="00705EA2">
          <w:rPr>
            <w:rStyle w:val="Hyperlink"/>
            <w:rFonts w:cstheme="minorHAnsi"/>
            <w:color w:val="1155CC"/>
            <w:shd w:val="clear" w:color="auto" w:fill="FFFFFF"/>
          </w:rPr>
          <w:t>https://gaarden.nu/media/1200/madstrategi_uk.pdf</w:t>
        </w:r>
      </w:hyperlink>
    </w:p>
    <w:p w14:paraId="7A8D4AE1" w14:textId="77777777" w:rsidR="00303290" w:rsidRPr="00705EA2" w:rsidRDefault="00303290" w:rsidP="00303290">
      <w:pPr>
        <w:spacing w:after="0" w:line="240" w:lineRule="auto"/>
        <w:jc w:val="both"/>
        <w:rPr>
          <w:rStyle w:val="Hyperlink"/>
          <w:rFonts w:cstheme="minorHAnsi"/>
          <w:color w:val="1155CC"/>
          <w:shd w:val="clear" w:color="auto" w:fill="FFFFFF"/>
        </w:rPr>
      </w:pPr>
    </w:p>
    <w:p w14:paraId="197E9BE4" w14:textId="77777777" w:rsidR="00303290" w:rsidRPr="00705EA2" w:rsidRDefault="00303290" w:rsidP="00303290">
      <w:pPr>
        <w:spacing w:after="0" w:line="240" w:lineRule="auto"/>
        <w:jc w:val="both"/>
        <w:rPr>
          <w:rStyle w:val="Hyperlink"/>
          <w:rFonts w:cstheme="minorHAnsi"/>
          <w:color w:val="1155CC"/>
          <w:shd w:val="clear" w:color="auto" w:fill="FFFFFF"/>
        </w:rPr>
      </w:pPr>
      <w:hyperlink r:id="rId11" w:history="1">
        <w:r w:rsidRPr="00705EA2">
          <w:rPr>
            <w:rStyle w:val="Hyperlink"/>
            <w:rFonts w:cstheme="minorHAnsi"/>
            <w:color w:val="1155CC"/>
            <w:shd w:val="clear" w:color="auto" w:fill="FFFFFF"/>
          </w:rPr>
          <w:t>http://www.greece-is.com/food-northern-aegean-lavish-meze-ouzo-sweet-wine/</w:t>
        </w:r>
      </w:hyperlink>
    </w:p>
    <w:p w14:paraId="292F40F0" w14:textId="77777777" w:rsidR="00303290" w:rsidRPr="00705EA2" w:rsidRDefault="00303290" w:rsidP="00303290">
      <w:pPr>
        <w:spacing w:after="0" w:line="240" w:lineRule="auto"/>
        <w:jc w:val="both"/>
        <w:rPr>
          <w:rStyle w:val="Hyperlink"/>
          <w:rFonts w:cstheme="minorHAnsi"/>
          <w:color w:val="1155CC"/>
          <w:shd w:val="clear" w:color="auto" w:fill="FFFFFF"/>
        </w:rPr>
      </w:pPr>
    </w:p>
    <w:p w14:paraId="14DAF921" w14:textId="77777777" w:rsidR="00303290" w:rsidRPr="00705EA2" w:rsidRDefault="00303290" w:rsidP="00303290">
      <w:pPr>
        <w:spacing w:after="0" w:line="240" w:lineRule="auto"/>
        <w:jc w:val="both"/>
        <w:rPr>
          <w:rStyle w:val="Hyperlink"/>
          <w:rFonts w:cstheme="minorHAnsi"/>
          <w:color w:val="1155CC"/>
          <w:shd w:val="clear" w:color="auto" w:fill="FFFFFF"/>
        </w:rPr>
      </w:pPr>
      <w:hyperlink r:id="rId12" w:history="1">
        <w:r w:rsidRPr="00705EA2">
          <w:rPr>
            <w:rStyle w:val="Hyperlink"/>
            <w:rFonts w:cstheme="minorHAnsi"/>
            <w:color w:val="1155CC"/>
            <w:shd w:val="clear" w:color="auto" w:fill="FFFFFF"/>
          </w:rPr>
          <w:t>https://timesofmalta.com/articles/view/APS-Bank-to-operate-12m-innovation-facility-for-Maltese-SMEs.628569</w:t>
        </w:r>
      </w:hyperlink>
    </w:p>
    <w:p w14:paraId="2F941479" w14:textId="77777777" w:rsidR="00303290" w:rsidRPr="00705EA2" w:rsidRDefault="00303290" w:rsidP="00303290">
      <w:pPr>
        <w:spacing w:after="0" w:line="240" w:lineRule="auto"/>
        <w:rPr>
          <w:rStyle w:val="Hyperlink"/>
          <w:rFonts w:ascii="Arial" w:hAnsi="Arial" w:cs="Arial"/>
          <w:color w:val="1155CC"/>
          <w:shd w:val="clear" w:color="auto" w:fill="FFFFFF"/>
        </w:rPr>
      </w:pPr>
    </w:p>
    <w:p w14:paraId="5EE2233F" w14:textId="77777777" w:rsidR="00303290" w:rsidRPr="00705EA2" w:rsidRDefault="00303290" w:rsidP="00303290">
      <w:pPr>
        <w:spacing w:after="0" w:line="240" w:lineRule="auto"/>
        <w:jc w:val="both"/>
        <w:rPr>
          <w:rFonts w:cs="Arial"/>
          <w:b/>
          <w:bCs/>
          <w:lang w:val="en-GB"/>
        </w:rPr>
      </w:pPr>
    </w:p>
    <w:p w14:paraId="54FAA7B4" w14:textId="77777777" w:rsidR="00303290" w:rsidRDefault="00303290">
      <w:pPr>
        <w:rPr>
          <w:rFonts w:eastAsiaTheme="majorEastAsia" w:cstheme="minorHAnsi"/>
          <w:b/>
          <w:bCs/>
          <w:sz w:val="24"/>
          <w:szCs w:val="24"/>
          <w:lang w:val="en-GB"/>
        </w:rPr>
      </w:pPr>
      <w:r>
        <w:rPr>
          <w:rFonts w:eastAsiaTheme="majorEastAsia" w:cstheme="minorHAnsi"/>
          <w:b/>
          <w:bCs/>
          <w:sz w:val="24"/>
          <w:szCs w:val="24"/>
          <w:lang w:val="en-GB"/>
        </w:rPr>
        <w:br w:type="page"/>
      </w:r>
    </w:p>
    <w:p w14:paraId="4D9A59C0" w14:textId="58268C45" w:rsidR="0037009B" w:rsidRPr="006F5716" w:rsidRDefault="00FF0C77" w:rsidP="006F5716">
      <w:pPr>
        <w:keepNext/>
        <w:keepLines/>
        <w:spacing w:before="240" w:after="0"/>
        <w:outlineLvl w:val="0"/>
        <w:rPr>
          <w:rFonts w:eastAsiaTheme="majorEastAsia" w:cstheme="minorHAnsi"/>
          <w:b/>
          <w:bCs/>
          <w:sz w:val="24"/>
          <w:szCs w:val="24"/>
          <w:lang w:val="en-GB"/>
        </w:rPr>
      </w:pPr>
      <w:r w:rsidRPr="006F5716">
        <w:rPr>
          <w:rFonts w:eastAsiaTheme="majorEastAsia" w:cstheme="minorHAnsi"/>
          <w:b/>
          <w:bCs/>
          <w:sz w:val="24"/>
          <w:szCs w:val="24"/>
          <w:lang w:val="en-GB"/>
        </w:rPr>
        <w:t>Annex: A Methodological Approach Applied to Determine an Optimal Ceiling for Effective De Minimis Aid</w:t>
      </w:r>
    </w:p>
    <w:p w14:paraId="08AEA1DF" w14:textId="77777777" w:rsidR="00FF0C77" w:rsidRPr="006F5716" w:rsidRDefault="00FF0C77" w:rsidP="006F5716">
      <w:pPr>
        <w:rPr>
          <w:sz w:val="2"/>
          <w:szCs w:val="2"/>
          <w:lang w:val="en-GB"/>
        </w:rPr>
      </w:pPr>
    </w:p>
    <w:p w14:paraId="2E84975E" w14:textId="216A7892" w:rsidR="00FF0C77" w:rsidRPr="00FF0C77" w:rsidRDefault="004410C6" w:rsidP="00FF0C77">
      <w:pPr>
        <w:spacing w:before="240"/>
        <w:jc w:val="both"/>
        <w:rPr>
          <w:rFonts w:eastAsia="SimSun"/>
          <w:lang w:val="en-GB"/>
        </w:rPr>
      </w:pPr>
      <w:r>
        <w:rPr>
          <w:rFonts w:eastAsia="SimSun"/>
          <w:lang w:val="en-GB"/>
        </w:rPr>
        <w:t>D</w:t>
      </w:r>
      <w:r w:rsidR="00FF0C77" w:rsidRPr="00FF0C77">
        <w:rPr>
          <w:rFonts w:eastAsia="SimSun"/>
          <w:lang w:val="en-GB"/>
        </w:rPr>
        <w:t xml:space="preserve">espite policy efforts towards business development in the EU, island regions continue to lag behind possibly due to inadequate State Aid rules which prevent an effective implementation of policies and initiatives through business in islands. </w:t>
      </w:r>
    </w:p>
    <w:p w14:paraId="2FAFC332" w14:textId="7C4DC247" w:rsidR="00FF0C77" w:rsidRPr="00FF0C77" w:rsidRDefault="00FF0C77" w:rsidP="00FF0C77">
      <w:pPr>
        <w:spacing w:before="240"/>
        <w:jc w:val="both"/>
        <w:rPr>
          <w:rFonts w:eastAsia="SimSun"/>
          <w:lang w:val="en-GB"/>
        </w:rPr>
      </w:pPr>
      <w:r w:rsidRPr="00FF0C77">
        <w:rPr>
          <w:rFonts w:eastAsia="SimSun"/>
          <w:lang w:val="en-GB"/>
        </w:rPr>
        <w:t xml:space="preserve">The following methodology provides a justification as to why EU island regions merit </w:t>
      </w:r>
      <w:r w:rsidR="00B07D5B">
        <w:rPr>
          <w:rFonts w:eastAsia="SimSun"/>
          <w:lang w:val="en-GB"/>
        </w:rPr>
        <w:t>flexibility</w:t>
      </w:r>
      <w:r w:rsidR="00B07D5B" w:rsidRPr="00FF0C77">
        <w:rPr>
          <w:rFonts w:eastAsia="SimSun"/>
          <w:lang w:val="en-GB"/>
        </w:rPr>
        <w:t xml:space="preserve"> </w:t>
      </w:r>
      <w:r w:rsidRPr="00FF0C77">
        <w:rPr>
          <w:rFonts w:eastAsia="SimSun"/>
          <w:lang w:val="en-GB"/>
        </w:rPr>
        <w:t xml:space="preserve">with regards to the </w:t>
      </w:r>
      <w:r w:rsidR="00E53BB7">
        <w:rPr>
          <w:rFonts w:eastAsia="SimSun"/>
          <w:lang w:val="en-GB"/>
        </w:rPr>
        <w:t>d</w:t>
      </w:r>
      <w:r w:rsidRPr="00FF0C77">
        <w:rPr>
          <w:rFonts w:eastAsia="SimSun"/>
          <w:lang w:val="en-GB"/>
        </w:rPr>
        <w:t xml:space="preserve">e </w:t>
      </w:r>
      <w:r w:rsidR="00E53BB7">
        <w:rPr>
          <w:rFonts w:eastAsia="SimSun"/>
          <w:lang w:val="en-GB"/>
        </w:rPr>
        <w:t>m</w:t>
      </w:r>
      <w:r w:rsidRPr="00FF0C77">
        <w:rPr>
          <w:rFonts w:eastAsia="SimSun"/>
          <w:lang w:val="en-GB"/>
        </w:rPr>
        <w:t>inimis aid which is currently capped with a ceiling of €200,000 per undertaking over a period of three fiscal years. Given that statistical data on EU island regions is lacking, this analysis is based on six EU countries whose island regions are considered to have the highest contribution to the national economy</w:t>
      </w:r>
      <w:r w:rsidRPr="00FF0C77">
        <w:rPr>
          <w:rFonts w:eastAsia="SimSun"/>
          <w:sz w:val="24"/>
          <w:vertAlign w:val="superscript"/>
          <w:lang w:val="en-GB"/>
        </w:rPr>
        <w:footnoteReference w:id="22"/>
      </w:r>
      <w:r w:rsidRPr="00FF0C77">
        <w:rPr>
          <w:rFonts w:eastAsia="SimSun"/>
          <w:lang w:val="en-GB"/>
        </w:rPr>
        <w:t xml:space="preserve">. </w:t>
      </w:r>
    </w:p>
    <w:p w14:paraId="04E02B09" w14:textId="77777777" w:rsidR="00FF0C77" w:rsidRPr="00FF0C77" w:rsidRDefault="00FF0C77" w:rsidP="00FF0C77">
      <w:pPr>
        <w:spacing w:before="240"/>
        <w:jc w:val="both"/>
        <w:rPr>
          <w:rFonts w:eastAsia="SimSun"/>
          <w:sz w:val="2"/>
          <w:szCs w:val="2"/>
          <w:lang w:val="en-GB"/>
        </w:rPr>
      </w:pPr>
    </w:p>
    <w:p w14:paraId="26DFB1E4" w14:textId="552A73DE" w:rsidR="00FF0C77" w:rsidRPr="00FF0C77" w:rsidRDefault="00FF0C77" w:rsidP="006F5716">
      <w:pPr>
        <w:keepNext/>
        <w:spacing w:after="0" w:line="240" w:lineRule="auto"/>
        <w:jc w:val="both"/>
        <w:rPr>
          <w:rFonts w:eastAsia="SimSun"/>
          <w:b/>
          <w:bCs/>
          <w:sz w:val="18"/>
          <w:szCs w:val="18"/>
        </w:rPr>
      </w:pPr>
      <w:r w:rsidRPr="00FF0C77">
        <w:rPr>
          <w:rFonts w:eastAsia="SimSun"/>
          <w:b/>
          <w:bCs/>
          <w:sz w:val="18"/>
          <w:szCs w:val="18"/>
        </w:rPr>
        <w:t xml:space="preserve">Table </w:t>
      </w:r>
      <w:r w:rsidRPr="00FF0C77">
        <w:rPr>
          <w:rFonts w:eastAsia="SimSun"/>
          <w:b/>
          <w:bCs/>
          <w:sz w:val="18"/>
          <w:szCs w:val="18"/>
        </w:rPr>
        <w:fldChar w:fldCharType="begin"/>
      </w:r>
      <w:r w:rsidRPr="00FF0C77">
        <w:rPr>
          <w:rFonts w:eastAsia="SimSun"/>
          <w:b/>
          <w:bCs/>
          <w:sz w:val="18"/>
          <w:szCs w:val="18"/>
        </w:rPr>
        <w:instrText xml:space="preserve"> SEQ Table \* ARABIC </w:instrText>
      </w:r>
      <w:r w:rsidRPr="00FF0C77">
        <w:rPr>
          <w:rFonts w:eastAsia="SimSun"/>
          <w:b/>
          <w:bCs/>
          <w:sz w:val="18"/>
          <w:szCs w:val="18"/>
        </w:rPr>
        <w:fldChar w:fldCharType="separate"/>
      </w:r>
      <w:r w:rsidR="00B60E45">
        <w:rPr>
          <w:rFonts w:eastAsia="SimSun"/>
          <w:b/>
          <w:bCs/>
          <w:noProof/>
          <w:sz w:val="18"/>
          <w:szCs w:val="18"/>
        </w:rPr>
        <w:t>1</w:t>
      </w:r>
      <w:r w:rsidRPr="00FF0C77">
        <w:rPr>
          <w:rFonts w:eastAsia="SimSun"/>
          <w:b/>
          <w:bCs/>
          <w:sz w:val="18"/>
          <w:szCs w:val="18"/>
        </w:rPr>
        <w:fldChar w:fldCharType="end"/>
      </w:r>
      <w:r w:rsidRPr="00FF0C77">
        <w:rPr>
          <w:rFonts w:eastAsia="SimSun"/>
          <w:b/>
          <w:bCs/>
          <w:sz w:val="18"/>
          <w:szCs w:val="18"/>
          <w:lang w:val="en-GB"/>
        </w:rPr>
        <w:t xml:space="preserve">: Ranking of </w:t>
      </w:r>
      <w:r w:rsidR="009522B6">
        <w:rPr>
          <w:rFonts w:eastAsia="SimSun"/>
          <w:b/>
          <w:bCs/>
          <w:sz w:val="18"/>
          <w:szCs w:val="18"/>
          <w:lang w:val="en-GB"/>
        </w:rPr>
        <w:t>c</w:t>
      </w:r>
      <w:r w:rsidRPr="00FF0C77">
        <w:rPr>
          <w:rFonts w:eastAsia="SimSun"/>
          <w:b/>
          <w:bCs/>
          <w:sz w:val="18"/>
          <w:szCs w:val="18"/>
          <w:lang w:val="en-GB"/>
        </w:rPr>
        <w:t xml:space="preserve">ountries </w:t>
      </w:r>
      <w:r w:rsidR="009522B6">
        <w:rPr>
          <w:rFonts w:eastAsia="SimSun"/>
          <w:b/>
          <w:bCs/>
          <w:sz w:val="18"/>
          <w:szCs w:val="18"/>
          <w:lang w:val="en-GB"/>
        </w:rPr>
        <w:t>a</w:t>
      </w:r>
      <w:r w:rsidRPr="00FF0C77">
        <w:rPr>
          <w:rFonts w:eastAsia="SimSun"/>
          <w:b/>
          <w:bCs/>
          <w:sz w:val="18"/>
          <w:szCs w:val="18"/>
          <w:lang w:val="en-GB"/>
        </w:rPr>
        <w:t xml:space="preserve">ccording to the </w:t>
      </w:r>
      <w:r w:rsidR="009522B6">
        <w:rPr>
          <w:rFonts w:eastAsia="SimSun"/>
          <w:b/>
          <w:bCs/>
          <w:sz w:val="18"/>
          <w:szCs w:val="18"/>
          <w:lang w:val="en-GB"/>
        </w:rPr>
        <w:t>h</w:t>
      </w:r>
      <w:r w:rsidRPr="00FF0C77">
        <w:rPr>
          <w:rFonts w:eastAsia="SimSun"/>
          <w:b/>
          <w:bCs/>
          <w:sz w:val="18"/>
          <w:szCs w:val="18"/>
          <w:lang w:val="en-GB"/>
        </w:rPr>
        <w:t xml:space="preserve">ighest </w:t>
      </w:r>
      <w:r w:rsidR="009522B6">
        <w:rPr>
          <w:rFonts w:eastAsia="SimSun"/>
          <w:b/>
          <w:bCs/>
          <w:sz w:val="18"/>
          <w:szCs w:val="18"/>
          <w:lang w:val="en-GB"/>
        </w:rPr>
        <w:t>c</w:t>
      </w:r>
      <w:r w:rsidRPr="00FF0C77">
        <w:rPr>
          <w:rFonts w:eastAsia="SimSun"/>
          <w:b/>
          <w:bCs/>
          <w:sz w:val="18"/>
          <w:szCs w:val="18"/>
          <w:lang w:val="en-GB"/>
        </w:rPr>
        <w:t xml:space="preserve">ontribution of Island Regions to the </w:t>
      </w:r>
      <w:r w:rsidR="009522B6">
        <w:rPr>
          <w:rFonts w:eastAsia="SimSun"/>
          <w:b/>
          <w:bCs/>
          <w:sz w:val="18"/>
          <w:szCs w:val="18"/>
          <w:lang w:val="en-GB"/>
        </w:rPr>
        <w:t>n</w:t>
      </w:r>
      <w:r w:rsidRPr="00FF0C77">
        <w:rPr>
          <w:rFonts w:eastAsia="SimSun"/>
          <w:b/>
          <w:bCs/>
          <w:sz w:val="18"/>
          <w:szCs w:val="18"/>
          <w:lang w:val="en-GB"/>
        </w:rPr>
        <w:t xml:space="preserve">ational </w:t>
      </w:r>
      <w:r w:rsidR="009522B6">
        <w:rPr>
          <w:rFonts w:eastAsia="SimSun"/>
          <w:b/>
          <w:bCs/>
          <w:sz w:val="18"/>
          <w:szCs w:val="18"/>
          <w:lang w:val="en-GB"/>
        </w:rPr>
        <w:t>e</w:t>
      </w:r>
      <w:r w:rsidRPr="00FF0C77">
        <w:rPr>
          <w:rFonts w:eastAsia="SimSun"/>
          <w:b/>
          <w:bCs/>
          <w:sz w:val="18"/>
          <w:szCs w:val="18"/>
          <w:lang w:val="en-GB"/>
        </w:rPr>
        <w:t>conomy</w:t>
      </w:r>
    </w:p>
    <w:p w14:paraId="6EB84574" w14:textId="3CAE766B" w:rsidR="00FF0C77" w:rsidRPr="00FF0C77" w:rsidRDefault="009522B6" w:rsidP="00FF0C77">
      <w:pPr>
        <w:spacing w:before="240" w:line="240" w:lineRule="auto"/>
        <w:jc w:val="both"/>
        <w:rPr>
          <w:rFonts w:eastAsia="SimSun"/>
          <w:lang w:val="en-GB"/>
        </w:rPr>
      </w:pPr>
      <w:r w:rsidRPr="009522B6">
        <w:rPr>
          <w:noProof/>
        </w:rPr>
        <w:drawing>
          <wp:anchor distT="0" distB="0" distL="114300" distR="114300" simplePos="0" relativeHeight="251664384" behindDoc="0" locked="0" layoutInCell="1" allowOverlap="1" wp14:anchorId="3D46A98B" wp14:editId="1CAA799F">
            <wp:simplePos x="0" y="0"/>
            <wp:positionH relativeFrom="column">
              <wp:posOffset>21590</wp:posOffset>
            </wp:positionH>
            <wp:positionV relativeFrom="paragraph">
              <wp:posOffset>46355</wp:posOffset>
            </wp:positionV>
            <wp:extent cx="2612390" cy="13258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2390" cy="1325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13D065" w14:textId="77777777" w:rsidR="009522B6" w:rsidRDefault="009522B6" w:rsidP="00FF0C77">
      <w:pPr>
        <w:spacing w:after="0" w:line="240" w:lineRule="auto"/>
        <w:jc w:val="both"/>
        <w:rPr>
          <w:rFonts w:eastAsia="SimSun" w:cstheme="minorHAnsi"/>
          <w:i/>
          <w:iCs/>
          <w:sz w:val="18"/>
          <w:szCs w:val="18"/>
          <w:lang w:val="en-GB"/>
        </w:rPr>
      </w:pPr>
    </w:p>
    <w:p w14:paraId="3DBDEFFC" w14:textId="77777777" w:rsidR="009522B6" w:rsidRDefault="009522B6" w:rsidP="00FF0C77">
      <w:pPr>
        <w:spacing w:after="0" w:line="240" w:lineRule="auto"/>
        <w:jc w:val="both"/>
        <w:rPr>
          <w:rFonts w:eastAsia="SimSun" w:cstheme="minorHAnsi"/>
          <w:i/>
          <w:iCs/>
          <w:sz w:val="18"/>
          <w:szCs w:val="18"/>
          <w:lang w:val="en-GB"/>
        </w:rPr>
      </w:pPr>
    </w:p>
    <w:p w14:paraId="02E208D7" w14:textId="77777777" w:rsidR="009522B6" w:rsidRDefault="009522B6" w:rsidP="00FF0C77">
      <w:pPr>
        <w:spacing w:after="0" w:line="240" w:lineRule="auto"/>
        <w:jc w:val="both"/>
        <w:rPr>
          <w:rFonts w:eastAsia="SimSun" w:cstheme="minorHAnsi"/>
          <w:i/>
          <w:iCs/>
          <w:sz w:val="18"/>
          <w:szCs w:val="18"/>
          <w:lang w:val="en-GB"/>
        </w:rPr>
      </w:pPr>
    </w:p>
    <w:p w14:paraId="424C1A91" w14:textId="77777777" w:rsidR="009522B6" w:rsidRDefault="009522B6" w:rsidP="00FF0C77">
      <w:pPr>
        <w:spacing w:after="0" w:line="240" w:lineRule="auto"/>
        <w:jc w:val="both"/>
        <w:rPr>
          <w:rFonts w:eastAsia="SimSun" w:cstheme="minorHAnsi"/>
          <w:i/>
          <w:iCs/>
          <w:sz w:val="18"/>
          <w:szCs w:val="18"/>
          <w:lang w:val="en-GB"/>
        </w:rPr>
      </w:pPr>
    </w:p>
    <w:p w14:paraId="3E246A66" w14:textId="77777777" w:rsidR="009522B6" w:rsidRDefault="009522B6" w:rsidP="00FF0C77">
      <w:pPr>
        <w:spacing w:after="0" w:line="240" w:lineRule="auto"/>
        <w:jc w:val="both"/>
        <w:rPr>
          <w:rFonts w:eastAsia="SimSun" w:cstheme="minorHAnsi"/>
          <w:i/>
          <w:iCs/>
          <w:sz w:val="18"/>
          <w:szCs w:val="18"/>
          <w:lang w:val="en-GB"/>
        </w:rPr>
      </w:pPr>
    </w:p>
    <w:p w14:paraId="62A34A00" w14:textId="77777777" w:rsidR="009522B6" w:rsidRDefault="009522B6" w:rsidP="00FF0C77">
      <w:pPr>
        <w:spacing w:after="0" w:line="240" w:lineRule="auto"/>
        <w:jc w:val="both"/>
        <w:rPr>
          <w:rFonts w:eastAsia="SimSun" w:cstheme="minorHAnsi"/>
          <w:i/>
          <w:iCs/>
          <w:sz w:val="18"/>
          <w:szCs w:val="18"/>
          <w:lang w:val="en-GB"/>
        </w:rPr>
      </w:pPr>
    </w:p>
    <w:p w14:paraId="11FDFE11" w14:textId="77777777" w:rsidR="009522B6" w:rsidRDefault="009522B6" w:rsidP="00FF0C77">
      <w:pPr>
        <w:spacing w:after="0" w:line="240" w:lineRule="auto"/>
        <w:jc w:val="both"/>
        <w:rPr>
          <w:rFonts w:eastAsia="SimSun" w:cstheme="minorHAnsi"/>
          <w:i/>
          <w:iCs/>
          <w:sz w:val="18"/>
          <w:szCs w:val="18"/>
          <w:lang w:val="en-GB"/>
        </w:rPr>
      </w:pPr>
    </w:p>
    <w:p w14:paraId="67977F08" w14:textId="4E232B1B" w:rsidR="00FF0C77" w:rsidRPr="00FF0C77" w:rsidRDefault="00FF0C77" w:rsidP="00FF0C77">
      <w:pPr>
        <w:spacing w:after="0" w:line="240" w:lineRule="auto"/>
        <w:jc w:val="both"/>
        <w:rPr>
          <w:rFonts w:eastAsia="SimSun"/>
          <w:sz w:val="10"/>
          <w:szCs w:val="10"/>
          <w:lang w:val="en-GB"/>
        </w:rPr>
      </w:pPr>
      <w:r w:rsidRPr="00FF0C77">
        <w:rPr>
          <w:rFonts w:eastAsia="SimSun" w:cstheme="minorHAnsi"/>
          <w:i/>
          <w:iCs/>
          <w:sz w:val="18"/>
          <w:szCs w:val="18"/>
          <w:lang w:val="en-GB"/>
        </w:rPr>
        <w:t xml:space="preserve">Source: E-Cubed Consultants workings based on Eurostat </w:t>
      </w:r>
      <w:r w:rsidR="00B07D5B">
        <w:rPr>
          <w:rFonts w:eastAsia="SimSun" w:cstheme="minorHAnsi"/>
          <w:i/>
          <w:iCs/>
          <w:sz w:val="18"/>
          <w:szCs w:val="18"/>
          <w:lang w:val="en-GB"/>
        </w:rPr>
        <w:t>Regional Statistics</w:t>
      </w:r>
    </w:p>
    <w:p w14:paraId="39F13AC3" w14:textId="36399AD4" w:rsidR="00FF0C77" w:rsidRPr="006F5716" w:rsidRDefault="00FF0C77" w:rsidP="00FF0C77">
      <w:pPr>
        <w:spacing w:before="240"/>
        <w:jc w:val="both"/>
        <w:rPr>
          <w:rFonts w:eastAsia="SimSun"/>
          <w:i/>
          <w:iCs/>
          <w:sz w:val="18"/>
          <w:szCs w:val="18"/>
          <w:lang w:val="en-GB"/>
        </w:rPr>
      </w:pPr>
      <w:r w:rsidRPr="006F5716">
        <w:rPr>
          <w:rFonts w:eastAsia="SimSun"/>
          <w:i/>
          <w:iCs/>
          <w:sz w:val="18"/>
          <w:szCs w:val="18"/>
          <w:lang w:val="en-GB"/>
        </w:rPr>
        <w:t>*Data on Croatian islands is limited given the fact that it joined the EU in 2013. Nonetheless, this country was also included in this analysis given its numerous islands.</w:t>
      </w:r>
    </w:p>
    <w:p w14:paraId="24CA6693" w14:textId="77777777" w:rsidR="009522B6" w:rsidRPr="006F5716" w:rsidRDefault="009522B6" w:rsidP="006F5716">
      <w:pPr>
        <w:jc w:val="both"/>
        <w:rPr>
          <w:rFonts w:eastAsia="SimSun"/>
          <w:sz w:val="2"/>
          <w:szCs w:val="2"/>
          <w:lang w:val="en-GB"/>
        </w:rPr>
      </w:pPr>
    </w:p>
    <w:p w14:paraId="7668110B" w14:textId="78991BBF" w:rsidR="00FF0C77" w:rsidRPr="00FF0C77" w:rsidRDefault="00FF0C77" w:rsidP="00FF0C77">
      <w:pPr>
        <w:spacing w:before="240"/>
        <w:jc w:val="both"/>
        <w:rPr>
          <w:rFonts w:eastAsia="SimSun"/>
          <w:lang w:val="en-GB"/>
        </w:rPr>
      </w:pPr>
      <w:r w:rsidRPr="00FF0C77">
        <w:rPr>
          <w:rFonts w:eastAsia="SimSun"/>
          <w:lang w:val="en-GB"/>
        </w:rPr>
        <w:t>As shown in Table 1, Greece ranked first with its islands contributing around 13.2% to the national economy. This is followed by France with the islands` contribution estimated at 7.9%, Portugal and Malta</w:t>
      </w:r>
      <w:r w:rsidRPr="00FF0C77">
        <w:rPr>
          <w:rFonts w:eastAsia="SimSun"/>
          <w:sz w:val="24"/>
          <w:vertAlign w:val="superscript"/>
          <w:lang w:val="en-GB"/>
        </w:rPr>
        <w:footnoteReference w:id="23"/>
      </w:r>
      <w:r w:rsidRPr="00FF0C77">
        <w:rPr>
          <w:rFonts w:eastAsia="SimSun"/>
          <w:lang w:val="en-GB"/>
        </w:rPr>
        <w:t xml:space="preserve"> estimated at 4.5% and 4.3% respectively and Spain with the islands` contribution to the national economy estimated at 1.2%. </w:t>
      </w:r>
    </w:p>
    <w:p w14:paraId="1162DAC5" w14:textId="1730B0D9" w:rsidR="00FF0C77" w:rsidRPr="00FF0C77" w:rsidRDefault="00FF0C77" w:rsidP="00FF0C77">
      <w:pPr>
        <w:spacing w:before="240"/>
        <w:jc w:val="both"/>
        <w:rPr>
          <w:rFonts w:eastAsia="SimSun"/>
          <w:lang w:val="en-GB"/>
        </w:rPr>
      </w:pPr>
      <w:r w:rsidRPr="00FF0C77">
        <w:rPr>
          <w:rFonts w:eastAsia="SimSun"/>
          <w:lang w:val="en-GB"/>
        </w:rPr>
        <w:t>Throughout the analysis, the comparison group</w:t>
      </w:r>
      <w:r w:rsidRPr="00FF0C77">
        <w:rPr>
          <w:rFonts w:eastAsia="SimSun"/>
          <w:sz w:val="24"/>
          <w:vertAlign w:val="superscript"/>
          <w:lang w:val="en-GB"/>
        </w:rPr>
        <w:footnoteReference w:id="24"/>
      </w:r>
      <w:r w:rsidRPr="00FF0C77">
        <w:rPr>
          <w:rFonts w:eastAsia="SimSun"/>
          <w:lang w:val="en-GB"/>
        </w:rPr>
        <w:t xml:space="preserve"> is compared to the EU average in order to derive the difference in the cost of doing business in countries where island regions are major contributors to the economic activity vis-à-vis other </w:t>
      </w:r>
      <w:r w:rsidR="00600CAA">
        <w:rPr>
          <w:rFonts w:eastAsia="SimSun"/>
          <w:lang w:val="en-GB"/>
        </w:rPr>
        <w:t xml:space="preserve">EU </w:t>
      </w:r>
      <w:r w:rsidRPr="00FF0C77">
        <w:rPr>
          <w:rFonts w:eastAsia="SimSun"/>
          <w:lang w:val="en-GB"/>
        </w:rPr>
        <w:t xml:space="preserve">countries whose economic activity is not quite dependent on islands. </w:t>
      </w:r>
      <w:r w:rsidR="00B07D5B">
        <w:rPr>
          <w:rFonts w:eastAsia="SimSun"/>
          <w:lang w:val="en-GB"/>
        </w:rPr>
        <w:t>Eurostat d</w:t>
      </w:r>
      <w:r w:rsidR="00B07D5B" w:rsidRPr="00FF0C77">
        <w:rPr>
          <w:rFonts w:eastAsia="SimSun"/>
          <w:lang w:val="en-GB"/>
        </w:rPr>
        <w:t>ata</w:t>
      </w:r>
      <w:r w:rsidRPr="00FF0C77">
        <w:rPr>
          <w:rFonts w:eastAsia="SimSun"/>
          <w:lang w:val="en-GB"/>
        </w:rPr>
        <w:t xml:space="preserve"> on the number of firms, turnover, Gross Value Added and Employment was utilised to derive the cost of doing business in both the comparison group and the EU average based on an average five-year period between 2012 to 2016. </w:t>
      </w:r>
    </w:p>
    <w:p w14:paraId="186F7024" w14:textId="0A620745" w:rsidR="00FF0C77" w:rsidRPr="00FF0C77" w:rsidRDefault="00FF0C77" w:rsidP="00FF0C77">
      <w:pPr>
        <w:spacing w:before="240"/>
        <w:jc w:val="both"/>
        <w:rPr>
          <w:rFonts w:eastAsia="SimSun"/>
          <w:lang w:val="en-GB"/>
        </w:rPr>
      </w:pPr>
      <w:r w:rsidRPr="00FF0C77">
        <w:rPr>
          <w:rFonts w:eastAsia="SimSun"/>
          <w:lang w:val="en-GB"/>
        </w:rPr>
        <w:t xml:space="preserve">Table 2 provides an analysis of these variables for both the EU average and the Comparison Group of countries. Whilst the average number of firms in the EU during the period under study was estimated at 23.2 million, the </w:t>
      </w:r>
      <w:r w:rsidR="00600CAA">
        <w:rPr>
          <w:rFonts w:eastAsia="SimSun"/>
          <w:lang w:val="en-GB"/>
        </w:rPr>
        <w:t>C</w:t>
      </w:r>
      <w:r w:rsidRPr="00FF0C77">
        <w:rPr>
          <w:rFonts w:eastAsia="SimSun"/>
          <w:lang w:val="en-GB"/>
        </w:rPr>
        <w:t xml:space="preserve">omparison </w:t>
      </w:r>
      <w:r w:rsidR="00600CAA">
        <w:rPr>
          <w:rFonts w:eastAsia="SimSun"/>
          <w:lang w:val="en-GB"/>
        </w:rPr>
        <w:t>G</w:t>
      </w:r>
      <w:r w:rsidRPr="00FF0C77">
        <w:rPr>
          <w:rFonts w:eastAsia="SimSun"/>
          <w:lang w:val="en-GB"/>
        </w:rPr>
        <w:t xml:space="preserve">roup registered an average of around 7.2 million firms. Moreover, the average turnover per firm earned by the EU average was estimated at around €1.2 million whilst that of the Comparison Group was estimated at around €0.8 million. The Gross Value Added per employee is also lower in the comparison group when compared to the EU average, estimated at €45,805 and €48,700 respectively. Firms located in countries </w:t>
      </w:r>
      <w:r w:rsidR="00600CAA">
        <w:rPr>
          <w:rFonts w:eastAsia="SimSun"/>
          <w:lang w:val="en-GB"/>
        </w:rPr>
        <w:t>where</w:t>
      </w:r>
      <w:r w:rsidRPr="00FF0C77">
        <w:rPr>
          <w:rFonts w:eastAsia="SimSun"/>
          <w:lang w:val="en-GB"/>
        </w:rPr>
        <w:t xml:space="preserve"> islands have a high contribution tend to have a higher cost to turnover ratio, estimated at 75.2% and 75.1% for the comparison group and the EU average respectively. </w:t>
      </w:r>
    </w:p>
    <w:p w14:paraId="5E29F62F" w14:textId="77777777" w:rsidR="009522B6" w:rsidRPr="006F5716" w:rsidRDefault="009522B6" w:rsidP="006F5716">
      <w:pPr>
        <w:rPr>
          <w:sz w:val="2"/>
          <w:szCs w:val="2"/>
          <w:lang w:val="en-GB"/>
        </w:rPr>
      </w:pPr>
    </w:p>
    <w:p w14:paraId="7CF32E9C" w14:textId="15AA42AD" w:rsidR="009522B6" w:rsidRPr="006F5716" w:rsidRDefault="009522B6" w:rsidP="006F5716">
      <w:pPr>
        <w:pStyle w:val="Caption"/>
        <w:keepNext/>
        <w:jc w:val="both"/>
        <w:rPr>
          <w:b/>
          <w:bCs/>
          <w:i w:val="0"/>
          <w:iCs w:val="0"/>
          <w:color w:val="auto"/>
        </w:rPr>
      </w:pPr>
      <w:r w:rsidRPr="006F5716">
        <w:rPr>
          <w:b/>
          <w:bCs/>
          <w:i w:val="0"/>
          <w:iCs w:val="0"/>
          <w:color w:val="auto"/>
        </w:rPr>
        <w:t xml:space="preserve">Table </w:t>
      </w:r>
      <w:r w:rsidRPr="006F5716">
        <w:rPr>
          <w:b/>
          <w:bCs/>
          <w:i w:val="0"/>
          <w:iCs w:val="0"/>
          <w:color w:val="auto"/>
        </w:rPr>
        <w:fldChar w:fldCharType="begin"/>
      </w:r>
      <w:r w:rsidRPr="006F5716">
        <w:rPr>
          <w:b/>
          <w:bCs/>
          <w:i w:val="0"/>
          <w:iCs w:val="0"/>
          <w:color w:val="auto"/>
        </w:rPr>
        <w:instrText xml:space="preserve"> SEQ Table \* ARABIC </w:instrText>
      </w:r>
      <w:r w:rsidRPr="006F5716">
        <w:rPr>
          <w:b/>
          <w:bCs/>
          <w:i w:val="0"/>
          <w:iCs w:val="0"/>
          <w:color w:val="auto"/>
        </w:rPr>
        <w:fldChar w:fldCharType="separate"/>
      </w:r>
      <w:r w:rsidR="00B60E45">
        <w:rPr>
          <w:b/>
          <w:bCs/>
          <w:i w:val="0"/>
          <w:iCs w:val="0"/>
          <w:noProof/>
          <w:color w:val="auto"/>
        </w:rPr>
        <w:t>2</w:t>
      </w:r>
      <w:r w:rsidRPr="006F5716">
        <w:rPr>
          <w:b/>
          <w:bCs/>
          <w:i w:val="0"/>
          <w:iCs w:val="0"/>
          <w:color w:val="auto"/>
        </w:rPr>
        <w:fldChar w:fldCharType="end"/>
      </w:r>
      <w:r w:rsidRPr="006F5716">
        <w:rPr>
          <w:b/>
          <w:bCs/>
          <w:i w:val="0"/>
          <w:iCs w:val="0"/>
          <w:color w:val="auto"/>
          <w:lang w:val="en-GB"/>
        </w:rPr>
        <w:t xml:space="preserve">: Analysis of </w:t>
      </w:r>
      <w:r>
        <w:rPr>
          <w:b/>
          <w:bCs/>
          <w:i w:val="0"/>
          <w:iCs w:val="0"/>
          <w:color w:val="auto"/>
          <w:lang w:val="en-GB"/>
        </w:rPr>
        <w:t>a</w:t>
      </w:r>
      <w:r w:rsidRPr="006F5716">
        <w:rPr>
          <w:b/>
          <w:bCs/>
          <w:i w:val="0"/>
          <w:iCs w:val="0"/>
          <w:color w:val="auto"/>
          <w:lang w:val="en-GB"/>
        </w:rPr>
        <w:t xml:space="preserve">ll </w:t>
      </w:r>
      <w:r>
        <w:rPr>
          <w:b/>
          <w:bCs/>
          <w:i w:val="0"/>
          <w:iCs w:val="0"/>
          <w:color w:val="auto"/>
          <w:lang w:val="en-GB"/>
        </w:rPr>
        <w:t>f</w:t>
      </w:r>
      <w:r w:rsidRPr="006F5716">
        <w:rPr>
          <w:b/>
          <w:bCs/>
          <w:i w:val="0"/>
          <w:iCs w:val="0"/>
          <w:color w:val="auto"/>
          <w:lang w:val="en-GB"/>
        </w:rPr>
        <w:t>irms</w:t>
      </w:r>
    </w:p>
    <w:p w14:paraId="263FD814" w14:textId="77777777" w:rsidR="00FF0C77" w:rsidRPr="00FF0C77" w:rsidRDefault="00FF0C77" w:rsidP="006F5716">
      <w:pPr>
        <w:spacing w:after="0"/>
        <w:jc w:val="both"/>
        <w:rPr>
          <w:rFonts w:eastAsia="SimSun"/>
          <w:lang w:val="en-GB"/>
        </w:rPr>
      </w:pPr>
      <w:r w:rsidRPr="00FF0C77">
        <w:rPr>
          <w:rFonts w:eastAsia="SimSun"/>
          <w:noProof/>
        </w:rPr>
        <w:drawing>
          <wp:inline distT="0" distB="0" distL="0" distR="0" wp14:anchorId="65F25117" wp14:editId="1C1DD42C">
            <wp:extent cx="3956886" cy="175768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281" cy="1834259"/>
                    </a:xfrm>
                    <a:prstGeom prst="rect">
                      <a:avLst/>
                    </a:prstGeom>
                    <a:noFill/>
                    <a:ln>
                      <a:noFill/>
                    </a:ln>
                  </pic:spPr>
                </pic:pic>
              </a:graphicData>
            </a:graphic>
          </wp:inline>
        </w:drawing>
      </w:r>
    </w:p>
    <w:p w14:paraId="28ACC426" w14:textId="43F85348" w:rsidR="009522B6" w:rsidRDefault="00FF0C77" w:rsidP="00FF0C77">
      <w:pPr>
        <w:spacing w:after="0"/>
        <w:jc w:val="both"/>
        <w:rPr>
          <w:rFonts w:eastAsia="SimSun"/>
          <w:sz w:val="2"/>
          <w:szCs w:val="2"/>
          <w:lang w:val="en-GB"/>
        </w:rPr>
      </w:pPr>
      <w:r w:rsidRPr="00FF0C77">
        <w:rPr>
          <w:rFonts w:eastAsia="SimSun" w:cstheme="minorHAnsi"/>
          <w:i/>
          <w:iCs/>
          <w:sz w:val="18"/>
          <w:szCs w:val="18"/>
          <w:lang w:val="en-GB"/>
        </w:rPr>
        <w:t>Source: E-Cubed Consultants workings based on Eurostat data</w:t>
      </w:r>
    </w:p>
    <w:p w14:paraId="65350448" w14:textId="77777777" w:rsidR="009522B6" w:rsidRPr="00FF0C77" w:rsidRDefault="009522B6" w:rsidP="00FF0C77">
      <w:pPr>
        <w:spacing w:after="0"/>
        <w:jc w:val="both"/>
        <w:rPr>
          <w:rFonts w:eastAsia="SimSun"/>
          <w:lang w:val="en-GB"/>
        </w:rPr>
      </w:pPr>
    </w:p>
    <w:p w14:paraId="3D26FC00" w14:textId="77777777" w:rsidR="009522B6" w:rsidRPr="006F5716" w:rsidRDefault="009522B6" w:rsidP="006F5716">
      <w:pPr>
        <w:spacing w:after="0"/>
        <w:jc w:val="both"/>
        <w:rPr>
          <w:rFonts w:eastAsia="SimSun"/>
          <w:sz w:val="2"/>
          <w:szCs w:val="2"/>
          <w:lang w:val="en-GB"/>
        </w:rPr>
      </w:pPr>
    </w:p>
    <w:p w14:paraId="18F554C6" w14:textId="06105F5C" w:rsidR="00FF0C77" w:rsidRPr="00FF0C77" w:rsidRDefault="00FF0C77" w:rsidP="00FF0C77">
      <w:pPr>
        <w:spacing w:before="240"/>
        <w:jc w:val="both"/>
        <w:rPr>
          <w:rFonts w:eastAsia="SimSun"/>
          <w:lang w:val="en-GB"/>
        </w:rPr>
      </w:pPr>
      <w:r w:rsidRPr="00FF0C77">
        <w:rPr>
          <w:rFonts w:eastAsia="SimSun"/>
          <w:lang w:val="en-GB"/>
        </w:rPr>
        <w:t>An analysis by firm size</w:t>
      </w:r>
      <w:r w:rsidRPr="00FF0C77">
        <w:rPr>
          <w:rFonts w:eastAsia="SimSun"/>
          <w:sz w:val="24"/>
          <w:vertAlign w:val="superscript"/>
          <w:lang w:val="en-GB"/>
        </w:rPr>
        <w:footnoteReference w:id="25"/>
      </w:r>
      <w:r w:rsidRPr="00FF0C77">
        <w:rPr>
          <w:rFonts w:eastAsia="SimSun"/>
          <w:lang w:val="en-GB"/>
        </w:rPr>
        <w:t xml:space="preserve"> was also conducted </w:t>
      </w:r>
      <w:r w:rsidRPr="006F5716">
        <w:rPr>
          <w:rFonts w:eastAsia="SimSun"/>
          <w:lang w:val="en-GB"/>
        </w:rPr>
        <w:t xml:space="preserve">in order to identify the different cost to turnover ratio according to the size of firm to reach a level playing field with the EU average. </w:t>
      </w:r>
    </w:p>
    <w:p w14:paraId="16C1E7E7" w14:textId="77777777" w:rsidR="00FF0C77" w:rsidRPr="00FF0C77" w:rsidRDefault="00FF0C77" w:rsidP="00FF0C77">
      <w:pPr>
        <w:spacing w:before="240"/>
        <w:jc w:val="both"/>
        <w:rPr>
          <w:rFonts w:eastAsia="SimSun"/>
          <w:lang w:val="en-GB"/>
        </w:rPr>
      </w:pPr>
      <w:r w:rsidRPr="00FF0C77">
        <w:rPr>
          <w:rFonts w:eastAsia="SimSun"/>
          <w:lang w:val="en-GB"/>
        </w:rPr>
        <w:t xml:space="preserve">Table 3 shows a predominance of Micro firms in the EU particularly in the Comparison Group which account for circa 95.2% of the total number of firms in the EU. Micro firms in this group of countries account for a larger ratio of turnover, Gross Value Added and employment to the total firms when compared to the EU average. </w:t>
      </w:r>
    </w:p>
    <w:p w14:paraId="0ED3DDAE" w14:textId="0A5D828B" w:rsidR="009522B6" w:rsidRPr="006F5716" w:rsidRDefault="009522B6" w:rsidP="006F5716">
      <w:pPr>
        <w:jc w:val="both"/>
        <w:rPr>
          <w:rFonts w:eastAsia="SimSun"/>
          <w:b/>
          <w:bCs/>
          <w:sz w:val="2"/>
          <w:szCs w:val="2"/>
          <w:highlight w:val="yellow"/>
          <w:lang w:val="en-GB"/>
        </w:rPr>
      </w:pPr>
    </w:p>
    <w:p w14:paraId="27EA56B2" w14:textId="664F7E3B" w:rsidR="00FF0C77" w:rsidRPr="00FF0C77" w:rsidRDefault="009522B6" w:rsidP="00FF0C77">
      <w:pPr>
        <w:spacing w:before="240"/>
        <w:jc w:val="both"/>
        <w:rPr>
          <w:rFonts w:eastAsia="SimSun"/>
          <w:b/>
          <w:bCs/>
          <w:sz w:val="18"/>
          <w:szCs w:val="18"/>
          <w:lang w:val="en-GB"/>
        </w:rPr>
      </w:pPr>
      <w:r>
        <w:rPr>
          <w:noProof/>
        </w:rPr>
        <mc:AlternateContent>
          <mc:Choice Requires="wps">
            <w:drawing>
              <wp:anchor distT="0" distB="0" distL="114300" distR="114300" simplePos="0" relativeHeight="251666432" behindDoc="0" locked="0" layoutInCell="1" allowOverlap="1" wp14:anchorId="400BFBF8" wp14:editId="4BF0BEA4">
                <wp:simplePos x="0" y="0"/>
                <wp:positionH relativeFrom="margin">
                  <wp:align>left</wp:align>
                </wp:positionH>
                <wp:positionV relativeFrom="paragraph">
                  <wp:posOffset>102235</wp:posOffset>
                </wp:positionV>
                <wp:extent cx="3470275" cy="206375"/>
                <wp:effectExtent l="0" t="0" r="0" b="3175"/>
                <wp:wrapSquare wrapText="bothSides"/>
                <wp:docPr id="4" name="Text Box 4"/>
                <wp:cNvGraphicFramePr/>
                <a:graphic xmlns:a="http://schemas.openxmlformats.org/drawingml/2006/main">
                  <a:graphicData uri="http://schemas.microsoft.com/office/word/2010/wordprocessingShape">
                    <wps:wsp>
                      <wps:cNvSpPr txBox="1"/>
                      <wps:spPr>
                        <a:xfrm>
                          <a:off x="0" y="0"/>
                          <a:ext cx="3470275" cy="206375"/>
                        </a:xfrm>
                        <a:prstGeom prst="rect">
                          <a:avLst/>
                        </a:prstGeom>
                        <a:solidFill>
                          <a:prstClr val="white"/>
                        </a:solidFill>
                        <a:ln>
                          <a:noFill/>
                        </a:ln>
                      </wps:spPr>
                      <wps:txbx>
                        <w:txbxContent>
                          <w:p w14:paraId="7BE92360" w14:textId="315BC338" w:rsidR="00E12A2F" w:rsidRPr="006F5716" w:rsidRDefault="00E12A2F" w:rsidP="006F5716">
                            <w:pPr>
                              <w:pStyle w:val="Caption"/>
                              <w:rPr>
                                <w:rFonts w:eastAsia="SimSun"/>
                                <w:b/>
                                <w:bCs/>
                                <w:i w:val="0"/>
                                <w:iCs w:val="0"/>
                                <w:noProof/>
                                <w:color w:val="auto"/>
                              </w:rPr>
                            </w:pPr>
                            <w:r w:rsidRPr="006F5716">
                              <w:rPr>
                                <w:b/>
                                <w:bCs/>
                                <w:i w:val="0"/>
                                <w:iCs w:val="0"/>
                                <w:color w:val="auto"/>
                              </w:rPr>
                              <w:t xml:space="preserve">Table </w:t>
                            </w:r>
                            <w:r w:rsidRPr="006F5716">
                              <w:rPr>
                                <w:b/>
                                <w:bCs/>
                                <w:i w:val="0"/>
                                <w:iCs w:val="0"/>
                                <w:color w:val="auto"/>
                              </w:rPr>
                              <w:fldChar w:fldCharType="begin"/>
                            </w:r>
                            <w:r w:rsidRPr="006F5716">
                              <w:rPr>
                                <w:b/>
                                <w:bCs/>
                                <w:i w:val="0"/>
                                <w:iCs w:val="0"/>
                                <w:color w:val="auto"/>
                              </w:rPr>
                              <w:instrText xml:space="preserve"> SEQ Table \* ARABIC </w:instrText>
                            </w:r>
                            <w:r w:rsidRPr="006F5716">
                              <w:rPr>
                                <w:b/>
                                <w:bCs/>
                                <w:i w:val="0"/>
                                <w:iCs w:val="0"/>
                                <w:color w:val="auto"/>
                              </w:rPr>
                              <w:fldChar w:fldCharType="separate"/>
                            </w:r>
                            <w:r>
                              <w:rPr>
                                <w:b/>
                                <w:bCs/>
                                <w:i w:val="0"/>
                                <w:iCs w:val="0"/>
                                <w:noProof/>
                                <w:color w:val="auto"/>
                              </w:rPr>
                              <w:t>3</w:t>
                            </w:r>
                            <w:r w:rsidRPr="006F5716">
                              <w:rPr>
                                <w:b/>
                                <w:bCs/>
                                <w:i w:val="0"/>
                                <w:iCs w:val="0"/>
                                <w:color w:val="auto"/>
                              </w:rPr>
                              <w:fldChar w:fldCharType="end"/>
                            </w:r>
                            <w:r w:rsidRPr="006F5716">
                              <w:rPr>
                                <w:b/>
                                <w:bCs/>
                                <w:i w:val="0"/>
                                <w:iCs w:val="0"/>
                                <w:color w:val="auto"/>
                                <w:lang w:val="en-GB"/>
                              </w:rPr>
                              <w:t xml:space="preserve">: </w:t>
                            </w:r>
                            <w:r>
                              <w:rPr>
                                <w:b/>
                                <w:bCs/>
                                <w:i w:val="0"/>
                                <w:iCs w:val="0"/>
                                <w:color w:val="auto"/>
                                <w:lang w:val="en-GB"/>
                              </w:rPr>
                              <w:t>The ratio of</w:t>
                            </w:r>
                            <w:r w:rsidRPr="006F5716">
                              <w:rPr>
                                <w:b/>
                                <w:bCs/>
                                <w:i w:val="0"/>
                                <w:iCs w:val="0"/>
                                <w:color w:val="auto"/>
                                <w:lang w:val="en-GB"/>
                              </w:rPr>
                              <w:t xml:space="preserve"> </w:t>
                            </w:r>
                            <w:r>
                              <w:rPr>
                                <w:b/>
                                <w:bCs/>
                                <w:i w:val="0"/>
                                <w:iCs w:val="0"/>
                                <w:color w:val="auto"/>
                                <w:lang w:val="en-GB"/>
                              </w:rPr>
                              <w:t>m</w:t>
                            </w:r>
                            <w:r w:rsidRPr="006F5716">
                              <w:rPr>
                                <w:b/>
                                <w:bCs/>
                                <w:i w:val="0"/>
                                <w:iCs w:val="0"/>
                                <w:color w:val="auto"/>
                                <w:lang w:val="en-GB"/>
                              </w:rPr>
                              <w:t xml:space="preserve">icro </w:t>
                            </w:r>
                            <w:r>
                              <w:rPr>
                                <w:b/>
                                <w:bCs/>
                                <w:i w:val="0"/>
                                <w:iCs w:val="0"/>
                                <w:color w:val="auto"/>
                                <w:lang w:val="en-GB"/>
                              </w:rPr>
                              <w:t>f</w:t>
                            </w:r>
                            <w:r w:rsidRPr="006F5716">
                              <w:rPr>
                                <w:b/>
                                <w:bCs/>
                                <w:i w:val="0"/>
                                <w:iCs w:val="0"/>
                                <w:color w:val="auto"/>
                                <w:lang w:val="en-GB"/>
                              </w:rPr>
                              <w:t>irms</w:t>
                            </w:r>
                            <w:r>
                              <w:rPr>
                                <w:b/>
                                <w:bCs/>
                                <w:i w:val="0"/>
                                <w:iCs w:val="0"/>
                                <w:color w:val="auto"/>
                                <w:lang w:val="en-GB"/>
                              </w:rPr>
                              <w:t xml:space="preserve"> to the total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0BFBF8" id="_x0000_t202" coordsize="21600,21600" o:spt="202" path="m,l,21600r21600,l21600,xe">
                <v:stroke joinstyle="miter"/>
                <v:path gradientshapeok="t" o:connecttype="rect"/>
              </v:shapetype>
              <v:shape id="Text Box 4" o:spid="_x0000_s1026" type="#_x0000_t202" style="position:absolute;left:0;text-align:left;margin-left:0;margin-top:8.05pt;width:273.25pt;height:16.25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" stroked="f">
                <v:textbox inset="0,0,0,0">
                  <w:txbxContent>
                    <w:p w14:paraId="7BE92360" w14:textId="315BC338" w:rsidR="00E12A2F" w:rsidRPr="006F5716" w:rsidRDefault="00E12A2F" w:rsidP="006F5716">
                      <w:pPr>
                        <w:pStyle w:val="Caption"/>
                        <w:rPr>
                          <w:rFonts w:eastAsia="SimSun"/>
                          <w:b/>
                          <w:bCs/>
                          <w:i w:val="0"/>
                          <w:iCs w:val="0"/>
                          <w:noProof/>
                          <w:color w:val="auto"/>
                        </w:rPr>
                      </w:pPr>
                      <w:r w:rsidRPr="006F5716">
                        <w:rPr>
                          <w:b/>
                          <w:bCs/>
                          <w:i w:val="0"/>
                          <w:iCs w:val="0"/>
                          <w:color w:val="auto"/>
                        </w:rPr>
                        <w:t xml:space="preserve">Table </w:t>
                      </w:r>
                      <w:r w:rsidRPr="006F5716">
                        <w:rPr>
                          <w:b/>
                          <w:bCs/>
                          <w:i w:val="0"/>
                          <w:iCs w:val="0"/>
                          <w:color w:val="auto"/>
                        </w:rPr>
                        <w:fldChar w:fldCharType="begin"/>
                      </w:r>
                      <w:r w:rsidRPr="006F5716">
                        <w:rPr>
                          <w:b/>
                          <w:bCs/>
                          <w:i w:val="0"/>
                          <w:iCs w:val="0"/>
                          <w:color w:val="auto"/>
                        </w:rPr>
                        <w:instrText xml:space="preserve"> SEQ Table \* ARABIC </w:instrText>
                      </w:r>
                      <w:r w:rsidRPr="006F5716">
                        <w:rPr>
                          <w:b/>
                          <w:bCs/>
                          <w:i w:val="0"/>
                          <w:iCs w:val="0"/>
                          <w:color w:val="auto"/>
                        </w:rPr>
                        <w:fldChar w:fldCharType="separate"/>
                      </w:r>
                      <w:r>
                        <w:rPr>
                          <w:b/>
                          <w:bCs/>
                          <w:i w:val="0"/>
                          <w:iCs w:val="0"/>
                          <w:noProof/>
                          <w:color w:val="auto"/>
                        </w:rPr>
                        <w:t>3</w:t>
                      </w:r>
                      <w:r w:rsidRPr="006F5716">
                        <w:rPr>
                          <w:b/>
                          <w:bCs/>
                          <w:i w:val="0"/>
                          <w:iCs w:val="0"/>
                          <w:color w:val="auto"/>
                        </w:rPr>
                        <w:fldChar w:fldCharType="end"/>
                      </w:r>
                      <w:r w:rsidRPr="006F5716">
                        <w:rPr>
                          <w:b/>
                          <w:bCs/>
                          <w:i w:val="0"/>
                          <w:iCs w:val="0"/>
                          <w:color w:val="auto"/>
                          <w:lang w:val="en-GB"/>
                        </w:rPr>
                        <w:t xml:space="preserve">: </w:t>
                      </w:r>
                      <w:r>
                        <w:rPr>
                          <w:b/>
                          <w:bCs/>
                          <w:i w:val="0"/>
                          <w:iCs w:val="0"/>
                          <w:color w:val="auto"/>
                          <w:lang w:val="en-GB"/>
                        </w:rPr>
                        <w:t>The ratio of</w:t>
                      </w:r>
                      <w:r w:rsidRPr="006F5716">
                        <w:rPr>
                          <w:b/>
                          <w:bCs/>
                          <w:i w:val="0"/>
                          <w:iCs w:val="0"/>
                          <w:color w:val="auto"/>
                          <w:lang w:val="en-GB"/>
                        </w:rPr>
                        <w:t xml:space="preserve"> </w:t>
                      </w:r>
                      <w:r>
                        <w:rPr>
                          <w:b/>
                          <w:bCs/>
                          <w:i w:val="0"/>
                          <w:iCs w:val="0"/>
                          <w:color w:val="auto"/>
                          <w:lang w:val="en-GB"/>
                        </w:rPr>
                        <w:t>m</w:t>
                      </w:r>
                      <w:r w:rsidRPr="006F5716">
                        <w:rPr>
                          <w:b/>
                          <w:bCs/>
                          <w:i w:val="0"/>
                          <w:iCs w:val="0"/>
                          <w:color w:val="auto"/>
                          <w:lang w:val="en-GB"/>
                        </w:rPr>
                        <w:t xml:space="preserve">icro </w:t>
                      </w:r>
                      <w:r>
                        <w:rPr>
                          <w:b/>
                          <w:bCs/>
                          <w:i w:val="0"/>
                          <w:iCs w:val="0"/>
                          <w:color w:val="auto"/>
                          <w:lang w:val="en-GB"/>
                        </w:rPr>
                        <w:t>f</w:t>
                      </w:r>
                      <w:r w:rsidRPr="006F5716">
                        <w:rPr>
                          <w:b/>
                          <w:bCs/>
                          <w:i w:val="0"/>
                          <w:iCs w:val="0"/>
                          <w:color w:val="auto"/>
                          <w:lang w:val="en-GB"/>
                        </w:rPr>
                        <w:t>irms</w:t>
                      </w:r>
                      <w:r>
                        <w:rPr>
                          <w:b/>
                          <w:bCs/>
                          <w:i w:val="0"/>
                          <w:iCs w:val="0"/>
                          <w:color w:val="auto"/>
                          <w:lang w:val="en-GB"/>
                        </w:rPr>
                        <w:t xml:space="preserve"> to the total</w:t>
                      </w:r>
                    </w:p>
                  </w:txbxContent>
                </v:textbox>
                <w10:wrap type="square" anchorx="margin"/>
              </v:shape>
            </w:pict>
          </mc:Fallback>
        </mc:AlternateContent>
      </w:r>
      <w:r w:rsidR="00FF0C77" w:rsidRPr="00FF0C77">
        <w:rPr>
          <w:rFonts w:eastAsia="SimSun"/>
          <w:b/>
          <w:bCs/>
          <w:noProof/>
          <w:sz w:val="18"/>
          <w:szCs w:val="18"/>
          <w:highlight w:val="yellow"/>
        </w:rPr>
        <w:drawing>
          <wp:anchor distT="0" distB="0" distL="114300" distR="114300" simplePos="0" relativeHeight="251659264" behindDoc="0" locked="0" layoutInCell="1" allowOverlap="1" wp14:anchorId="3F615647" wp14:editId="1437C7C6">
            <wp:simplePos x="0" y="0"/>
            <wp:positionH relativeFrom="margin">
              <wp:align>left</wp:align>
            </wp:positionH>
            <wp:positionV relativeFrom="paragraph">
              <wp:posOffset>311323</wp:posOffset>
            </wp:positionV>
            <wp:extent cx="3470275" cy="94170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5">
                      <a:extLst>
                        <a:ext uri="{28A0092B-C50C-407E-A947-70E740481C1C}">
                          <a14:useLocalDpi xmlns:a14="http://schemas.microsoft.com/office/drawing/2010/main" val="0"/>
                        </a:ext>
                      </a:extLst>
                    </a:blip>
                    <a:srcRect b="23838"/>
                    <a:stretch/>
                  </pic:blipFill>
                  <pic:spPr bwMode="auto">
                    <a:xfrm>
                      <a:off x="0" y="0"/>
                      <a:ext cx="3470275" cy="941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0CB2F8" w14:textId="77777777" w:rsidR="00FF0C77" w:rsidRPr="00FF0C77" w:rsidRDefault="00FF0C77" w:rsidP="00FF0C77">
      <w:pPr>
        <w:rPr>
          <w:rFonts w:eastAsia="SimSun"/>
          <w:sz w:val="18"/>
          <w:szCs w:val="18"/>
          <w:lang w:val="en-GB"/>
        </w:rPr>
      </w:pPr>
    </w:p>
    <w:p w14:paraId="563AB8CC" w14:textId="77777777" w:rsidR="00FF0C77" w:rsidRPr="00FF0C77" w:rsidRDefault="00FF0C77" w:rsidP="00FF0C77">
      <w:pPr>
        <w:rPr>
          <w:rFonts w:eastAsia="SimSun"/>
          <w:sz w:val="18"/>
          <w:szCs w:val="18"/>
          <w:lang w:val="en-GB"/>
        </w:rPr>
      </w:pPr>
    </w:p>
    <w:p w14:paraId="25D048BF" w14:textId="77777777" w:rsidR="00FF0C77" w:rsidRPr="00FF0C77" w:rsidRDefault="00FF0C77" w:rsidP="00FF0C77">
      <w:pPr>
        <w:rPr>
          <w:rFonts w:eastAsia="SimSun"/>
          <w:b/>
          <w:bCs/>
          <w:sz w:val="18"/>
          <w:szCs w:val="18"/>
          <w:lang w:val="en-GB"/>
        </w:rPr>
      </w:pPr>
    </w:p>
    <w:p w14:paraId="42838AAC" w14:textId="77777777" w:rsidR="00FF0C77" w:rsidRPr="00FF0C77" w:rsidRDefault="00FF0C77" w:rsidP="00FF0C77">
      <w:pPr>
        <w:rPr>
          <w:rFonts w:eastAsia="SimSun"/>
          <w:sz w:val="18"/>
          <w:szCs w:val="18"/>
          <w:lang w:val="en-GB"/>
        </w:rPr>
      </w:pPr>
    </w:p>
    <w:p w14:paraId="4B6BC6AB" w14:textId="77777777" w:rsidR="00FF0C77" w:rsidRPr="00FF0C77" w:rsidRDefault="00FF0C77" w:rsidP="00FF0C77">
      <w:pPr>
        <w:spacing w:after="0"/>
        <w:jc w:val="both"/>
        <w:rPr>
          <w:rFonts w:eastAsia="SimSun" w:cstheme="minorHAnsi"/>
          <w:i/>
          <w:iCs/>
          <w:sz w:val="18"/>
          <w:szCs w:val="18"/>
          <w:lang w:val="en-GB"/>
        </w:rPr>
      </w:pPr>
      <w:r w:rsidRPr="00FF0C77">
        <w:rPr>
          <w:rFonts w:eastAsia="SimSun" w:cstheme="minorHAnsi"/>
          <w:i/>
          <w:iCs/>
          <w:sz w:val="18"/>
          <w:szCs w:val="18"/>
          <w:lang w:val="en-GB"/>
        </w:rPr>
        <w:t>Source: E-Cubed Consultants workings based on Eurostat data</w:t>
      </w:r>
    </w:p>
    <w:p w14:paraId="00B17454" w14:textId="77777777" w:rsidR="00FF0C77" w:rsidRPr="00FF0C77" w:rsidRDefault="00FF0C77" w:rsidP="00FF0C77">
      <w:pPr>
        <w:spacing w:after="0"/>
        <w:jc w:val="both"/>
        <w:rPr>
          <w:rFonts w:eastAsia="SimSun" w:cstheme="minorHAnsi"/>
          <w:i/>
          <w:iCs/>
          <w:sz w:val="18"/>
          <w:szCs w:val="18"/>
          <w:lang w:val="en-GB"/>
        </w:rPr>
      </w:pPr>
    </w:p>
    <w:p w14:paraId="32C864B4" w14:textId="61C9C43A" w:rsidR="00FF0C77" w:rsidRDefault="00FF0C77" w:rsidP="00FF0C77">
      <w:pPr>
        <w:spacing w:before="240"/>
        <w:jc w:val="both"/>
        <w:rPr>
          <w:rFonts w:eastAsia="SimSun"/>
          <w:lang w:val="en-GB"/>
        </w:rPr>
      </w:pPr>
      <w:r w:rsidRPr="00FF0C77">
        <w:rPr>
          <w:rFonts w:eastAsia="SimSun"/>
          <w:lang w:val="en-GB"/>
        </w:rPr>
        <w:t>Nonetheless, Table 4 indicates that the turnover per firm is lower in the Comparison Group when compared to the EU average, estimated at €196,809 and €224,637 respectively. Moreover, the cost to turnover ratio of micro firms in the comparison group is found to be 1.6 percentage points higher than the EU average, estimated at 73.1% and 71.5% respectively</w:t>
      </w:r>
      <w:r w:rsidR="002650BD">
        <w:rPr>
          <w:rFonts w:eastAsia="SimSun"/>
          <w:lang w:val="en-GB"/>
        </w:rPr>
        <w:t xml:space="preserve">. </w:t>
      </w:r>
    </w:p>
    <w:p w14:paraId="1479BFBD" w14:textId="1DBD60E5" w:rsidR="00CC606A" w:rsidRDefault="00CC606A" w:rsidP="00FF0C77">
      <w:pPr>
        <w:spacing w:before="240"/>
        <w:jc w:val="both"/>
        <w:rPr>
          <w:rFonts w:eastAsia="SimSun"/>
          <w:lang w:val="en-GB"/>
        </w:rPr>
      </w:pPr>
    </w:p>
    <w:p w14:paraId="053B039E" w14:textId="44067062" w:rsidR="00CC606A" w:rsidRDefault="00CC606A" w:rsidP="00FF0C77">
      <w:pPr>
        <w:spacing w:before="240"/>
        <w:jc w:val="both"/>
        <w:rPr>
          <w:rFonts w:eastAsia="SimSun"/>
          <w:lang w:val="en-GB"/>
        </w:rPr>
      </w:pPr>
    </w:p>
    <w:p w14:paraId="46122AFB" w14:textId="77777777" w:rsidR="00CC606A" w:rsidRPr="00FF0C77" w:rsidRDefault="00CC606A" w:rsidP="00FF0C77">
      <w:pPr>
        <w:spacing w:before="240"/>
        <w:jc w:val="both"/>
        <w:rPr>
          <w:rFonts w:eastAsia="SimSun"/>
          <w:color w:val="FF0000"/>
          <w:lang w:val="en-GB"/>
        </w:rPr>
      </w:pPr>
    </w:p>
    <w:p w14:paraId="37ADB66A" w14:textId="48C210DC" w:rsidR="009522B6" w:rsidRPr="006F5716" w:rsidRDefault="009522B6" w:rsidP="006F5716">
      <w:pPr>
        <w:spacing w:after="0"/>
        <w:jc w:val="both"/>
        <w:rPr>
          <w:rFonts w:eastAsia="SimSun"/>
          <w:b/>
          <w:bCs/>
          <w:sz w:val="2"/>
          <w:szCs w:val="2"/>
          <w:highlight w:val="yellow"/>
          <w:lang w:val="en-GB"/>
        </w:rPr>
      </w:pPr>
    </w:p>
    <w:p w14:paraId="4ACE305D" w14:textId="28E7FC3D" w:rsidR="00FF0C77" w:rsidRPr="00FF0C77" w:rsidRDefault="009522B6" w:rsidP="00FF0C77">
      <w:pPr>
        <w:spacing w:before="240"/>
        <w:jc w:val="both"/>
        <w:rPr>
          <w:rFonts w:eastAsia="SimSun"/>
          <w:b/>
          <w:bCs/>
          <w:sz w:val="18"/>
          <w:szCs w:val="18"/>
          <w:lang w:val="en-GB"/>
        </w:rPr>
      </w:pPr>
      <w:r>
        <w:rPr>
          <w:noProof/>
        </w:rPr>
        <mc:AlternateContent>
          <mc:Choice Requires="wps">
            <w:drawing>
              <wp:anchor distT="0" distB="0" distL="114300" distR="114300" simplePos="0" relativeHeight="251668480" behindDoc="0" locked="0" layoutInCell="1" allowOverlap="1" wp14:anchorId="1EE3B06D" wp14:editId="6F611D01">
                <wp:simplePos x="0" y="0"/>
                <wp:positionH relativeFrom="margin">
                  <wp:align>left</wp:align>
                </wp:positionH>
                <wp:positionV relativeFrom="paragraph">
                  <wp:posOffset>187597</wp:posOffset>
                </wp:positionV>
                <wp:extent cx="2830195" cy="152400"/>
                <wp:effectExtent l="0" t="0" r="8255" b="0"/>
                <wp:wrapSquare wrapText="bothSides"/>
                <wp:docPr id="6" name="Text Box 6"/>
                <wp:cNvGraphicFramePr/>
                <a:graphic xmlns:a="http://schemas.openxmlformats.org/drawingml/2006/main">
                  <a:graphicData uri="http://schemas.microsoft.com/office/word/2010/wordprocessingShape">
                    <wps:wsp>
                      <wps:cNvSpPr txBox="1"/>
                      <wps:spPr>
                        <a:xfrm>
                          <a:off x="0" y="0"/>
                          <a:ext cx="2830195" cy="152400"/>
                        </a:xfrm>
                        <a:prstGeom prst="rect">
                          <a:avLst/>
                        </a:prstGeom>
                        <a:solidFill>
                          <a:prstClr val="white"/>
                        </a:solidFill>
                        <a:ln>
                          <a:noFill/>
                        </a:ln>
                      </wps:spPr>
                      <wps:txbx>
                        <w:txbxContent>
                          <w:p w14:paraId="1A78FA93" w14:textId="19B50044" w:rsidR="00E12A2F" w:rsidRPr="006F5716" w:rsidRDefault="00E12A2F" w:rsidP="006F5716">
                            <w:pPr>
                              <w:pStyle w:val="Caption"/>
                              <w:spacing w:after="0"/>
                              <w:rPr>
                                <w:rFonts w:eastAsia="SimSun"/>
                                <w:b/>
                                <w:bCs/>
                                <w:i w:val="0"/>
                                <w:iCs w:val="0"/>
                                <w:noProof/>
                                <w:color w:val="auto"/>
                              </w:rPr>
                            </w:pPr>
                            <w:r w:rsidRPr="006F5716">
                              <w:rPr>
                                <w:b/>
                                <w:bCs/>
                                <w:i w:val="0"/>
                                <w:iCs w:val="0"/>
                                <w:color w:val="auto"/>
                              </w:rPr>
                              <w:t xml:space="preserve">Table </w:t>
                            </w:r>
                            <w:r w:rsidRPr="006F5716">
                              <w:rPr>
                                <w:b/>
                                <w:bCs/>
                                <w:i w:val="0"/>
                                <w:iCs w:val="0"/>
                                <w:color w:val="auto"/>
                              </w:rPr>
                              <w:fldChar w:fldCharType="begin"/>
                            </w:r>
                            <w:r w:rsidRPr="006F5716">
                              <w:rPr>
                                <w:b/>
                                <w:bCs/>
                                <w:i w:val="0"/>
                                <w:iCs w:val="0"/>
                                <w:color w:val="auto"/>
                              </w:rPr>
                              <w:instrText xml:space="preserve"> SEQ Table \* ARABIC </w:instrText>
                            </w:r>
                            <w:r w:rsidRPr="006F5716">
                              <w:rPr>
                                <w:b/>
                                <w:bCs/>
                                <w:i w:val="0"/>
                                <w:iCs w:val="0"/>
                                <w:color w:val="auto"/>
                              </w:rPr>
                              <w:fldChar w:fldCharType="separate"/>
                            </w:r>
                            <w:r>
                              <w:rPr>
                                <w:b/>
                                <w:bCs/>
                                <w:i w:val="0"/>
                                <w:iCs w:val="0"/>
                                <w:noProof/>
                                <w:color w:val="auto"/>
                              </w:rPr>
                              <w:t>4</w:t>
                            </w:r>
                            <w:r w:rsidRPr="006F5716">
                              <w:rPr>
                                <w:b/>
                                <w:bCs/>
                                <w:i w:val="0"/>
                                <w:iCs w:val="0"/>
                                <w:color w:val="auto"/>
                              </w:rPr>
                              <w:fldChar w:fldCharType="end"/>
                            </w:r>
                            <w:r w:rsidRPr="006F5716">
                              <w:rPr>
                                <w:b/>
                                <w:bCs/>
                                <w:i w:val="0"/>
                                <w:iCs w:val="0"/>
                                <w:color w:val="auto"/>
                                <w:lang w:val="en-GB"/>
                              </w:rPr>
                              <w:t>: Analysis of micro firms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E3B06D" id="Text Box 6" o:spid="_x0000_s1027" type="#_x0000_t202" style="position:absolute;left:0;text-align:left;margin-left:0;margin-top:14.75pt;width:222.85pt;height:12pt;z-index:2516684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" stroked="f">
                <v:textbox inset="0,0,0,0">
                  <w:txbxContent>
                    <w:p w14:paraId="1A78FA93" w14:textId="19B50044" w:rsidR="00E12A2F" w:rsidRPr="006F5716" w:rsidRDefault="00E12A2F" w:rsidP="006F5716">
                      <w:pPr>
                        <w:pStyle w:val="Caption"/>
                        <w:spacing w:after="0"/>
                        <w:rPr>
                          <w:rFonts w:eastAsia="SimSun"/>
                          <w:b/>
                          <w:bCs/>
                          <w:i w:val="0"/>
                          <w:iCs w:val="0"/>
                          <w:noProof/>
                          <w:color w:val="auto"/>
                        </w:rPr>
                      </w:pPr>
                      <w:r w:rsidRPr="006F5716">
                        <w:rPr>
                          <w:b/>
                          <w:bCs/>
                          <w:i w:val="0"/>
                          <w:iCs w:val="0"/>
                          <w:color w:val="auto"/>
                        </w:rPr>
                        <w:t xml:space="preserve">Table </w:t>
                      </w:r>
                      <w:r w:rsidRPr="006F5716">
                        <w:rPr>
                          <w:b/>
                          <w:bCs/>
                          <w:i w:val="0"/>
                          <w:iCs w:val="0"/>
                          <w:color w:val="auto"/>
                        </w:rPr>
                        <w:fldChar w:fldCharType="begin"/>
                      </w:r>
                      <w:r w:rsidRPr="006F5716">
                        <w:rPr>
                          <w:b/>
                          <w:bCs/>
                          <w:i w:val="0"/>
                          <w:iCs w:val="0"/>
                          <w:color w:val="auto"/>
                        </w:rPr>
                        <w:instrText xml:space="preserve"> SEQ Table \* ARABIC </w:instrText>
                      </w:r>
                      <w:r w:rsidRPr="006F5716">
                        <w:rPr>
                          <w:b/>
                          <w:bCs/>
                          <w:i w:val="0"/>
                          <w:iCs w:val="0"/>
                          <w:color w:val="auto"/>
                        </w:rPr>
                        <w:fldChar w:fldCharType="separate"/>
                      </w:r>
                      <w:r>
                        <w:rPr>
                          <w:b/>
                          <w:bCs/>
                          <w:i w:val="0"/>
                          <w:iCs w:val="0"/>
                          <w:noProof/>
                          <w:color w:val="auto"/>
                        </w:rPr>
                        <w:t>4</w:t>
                      </w:r>
                      <w:r w:rsidRPr="006F5716">
                        <w:rPr>
                          <w:b/>
                          <w:bCs/>
                          <w:i w:val="0"/>
                          <w:iCs w:val="0"/>
                          <w:color w:val="auto"/>
                        </w:rPr>
                        <w:fldChar w:fldCharType="end"/>
                      </w:r>
                      <w:r w:rsidRPr="006F5716">
                        <w:rPr>
                          <w:b/>
                          <w:bCs/>
                          <w:i w:val="0"/>
                          <w:iCs w:val="0"/>
                          <w:color w:val="auto"/>
                          <w:lang w:val="en-GB"/>
                        </w:rPr>
                        <w:t>: Analysis of micro firms</w:t>
                      </w:r>
                    </w:p>
                  </w:txbxContent>
                </v:textbox>
                <w10:wrap type="square" anchorx="margin"/>
              </v:shape>
            </w:pict>
          </mc:Fallback>
        </mc:AlternateContent>
      </w:r>
    </w:p>
    <w:p w14:paraId="323134D3" w14:textId="790DCA41" w:rsidR="00FF0C77" w:rsidRPr="00FF0C77" w:rsidRDefault="00001A9C" w:rsidP="00FF0C77">
      <w:pPr>
        <w:spacing w:after="0" w:line="240" w:lineRule="auto"/>
        <w:contextualSpacing/>
        <w:jc w:val="both"/>
        <w:rPr>
          <w:rFonts w:eastAsia="SimSun" w:cstheme="minorHAnsi"/>
          <w:i/>
          <w:iCs/>
          <w:sz w:val="18"/>
          <w:szCs w:val="18"/>
          <w:lang w:val="en-GB"/>
        </w:rPr>
      </w:pPr>
      <w:r w:rsidRPr="00001A9C">
        <w:rPr>
          <w:noProof/>
        </w:rPr>
        <w:drawing>
          <wp:inline distT="0" distB="0" distL="0" distR="0" wp14:anchorId="73206177" wp14:editId="01AC36B7">
            <wp:extent cx="2910994" cy="1267200"/>
            <wp:effectExtent l="0" t="0" r="381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0994" cy="1267200"/>
                    </a:xfrm>
                    <a:prstGeom prst="rect">
                      <a:avLst/>
                    </a:prstGeom>
                    <a:noFill/>
                    <a:ln>
                      <a:noFill/>
                    </a:ln>
                  </pic:spPr>
                </pic:pic>
              </a:graphicData>
            </a:graphic>
          </wp:inline>
        </w:drawing>
      </w:r>
    </w:p>
    <w:p w14:paraId="566D05AF" w14:textId="5F62D62C" w:rsidR="00FF0C77" w:rsidRPr="00FF0C77" w:rsidRDefault="00FF0C77" w:rsidP="00FF0C77">
      <w:pPr>
        <w:spacing w:after="0" w:line="240" w:lineRule="auto"/>
        <w:contextualSpacing/>
        <w:jc w:val="both"/>
        <w:rPr>
          <w:rFonts w:eastAsia="SimSun" w:cstheme="minorHAnsi"/>
          <w:i/>
          <w:iCs/>
          <w:sz w:val="18"/>
          <w:szCs w:val="18"/>
          <w:lang w:val="en-GB"/>
        </w:rPr>
      </w:pPr>
      <w:r w:rsidRPr="00FF0C77">
        <w:rPr>
          <w:rFonts w:eastAsia="SimSun" w:cstheme="minorHAnsi"/>
          <w:i/>
          <w:iCs/>
          <w:sz w:val="18"/>
          <w:szCs w:val="18"/>
          <w:lang w:val="en-GB"/>
        </w:rPr>
        <w:t>Source: E-Cubed Consultants workings based on Eurostat data</w:t>
      </w:r>
    </w:p>
    <w:p w14:paraId="2F7FDD99" w14:textId="77777777" w:rsidR="00FF0C77" w:rsidRPr="00FF0C77" w:rsidRDefault="00FF0C77" w:rsidP="00FF0C77">
      <w:pPr>
        <w:spacing w:after="0" w:line="240" w:lineRule="auto"/>
        <w:contextualSpacing/>
        <w:jc w:val="both"/>
        <w:rPr>
          <w:rFonts w:eastAsia="SimSun" w:cstheme="minorHAnsi"/>
          <w:i/>
          <w:iCs/>
          <w:sz w:val="18"/>
          <w:szCs w:val="18"/>
          <w:lang w:val="en-GB"/>
        </w:rPr>
      </w:pPr>
    </w:p>
    <w:p w14:paraId="22F1C907" w14:textId="77777777" w:rsidR="009522B6" w:rsidRDefault="009522B6" w:rsidP="005F615E">
      <w:pPr>
        <w:spacing w:after="0" w:line="240" w:lineRule="auto"/>
        <w:contextualSpacing/>
        <w:jc w:val="both"/>
        <w:rPr>
          <w:rFonts w:eastAsia="SimSun" w:cstheme="minorHAnsi"/>
          <w:lang w:val="en-GB"/>
        </w:rPr>
      </w:pPr>
    </w:p>
    <w:p w14:paraId="3DBE52FD" w14:textId="42166AD0" w:rsidR="002650BD" w:rsidRPr="002650BD" w:rsidRDefault="00FF0C77" w:rsidP="005F615E">
      <w:pPr>
        <w:spacing w:after="0" w:line="240" w:lineRule="auto"/>
        <w:contextualSpacing/>
        <w:jc w:val="both"/>
        <w:rPr>
          <w:rFonts w:eastAsia="SimSun" w:cstheme="minorHAnsi"/>
          <w:lang w:val="en-GB"/>
        </w:rPr>
      </w:pPr>
      <w:r w:rsidRPr="002650BD">
        <w:rPr>
          <w:rFonts w:eastAsia="SimSun" w:cstheme="minorHAnsi"/>
          <w:lang w:val="en-GB"/>
        </w:rPr>
        <w:t xml:space="preserve">A distinction is made between small-sized firms which employ between 10 to 19 employees and those with around 20 to 49 employees </w:t>
      </w:r>
      <w:r w:rsidRPr="006F5716">
        <w:rPr>
          <w:rFonts w:eastAsia="SimSun" w:cstheme="minorHAnsi"/>
          <w:lang w:val="en-GB"/>
        </w:rPr>
        <w:t xml:space="preserve">in order to assess the extent to which each group necessitate a higher </w:t>
      </w:r>
      <w:r w:rsidR="00600CAA">
        <w:rPr>
          <w:rFonts w:eastAsia="SimSun" w:cstheme="minorHAnsi"/>
          <w:lang w:val="en-GB"/>
        </w:rPr>
        <w:t>d</w:t>
      </w:r>
      <w:r w:rsidRPr="006F5716">
        <w:rPr>
          <w:rFonts w:eastAsia="SimSun" w:cstheme="minorHAnsi"/>
          <w:lang w:val="en-GB"/>
        </w:rPr>
        <w:t xml:space="preserve">e </w:t>
      </w:r>
      <w:r w:rsidR="00600CAA">
        <w:rPr>
          <w:rFonts w:eastAsia="SimSun" w:cstheme="minorHAnsi"/>
          <w:lang w:val="en-GB"/>
        </w:rPr>
        <w:t>m</w:t>
      </w:r>
      <w:r w:rsidRPr="006F5716">
        <w:rPr>
          <w:rFonts w:eastAsia="SimSun" w:cstheme="minorHAnsi"/>
          <w:lang w:val="en-GB"/>
        </w:rPr>
        <w:t xml:space="preserve">inimis aid, due to the fact that the economic contribution of this category of firms is highly significant in island regions, albeit they account for a relatively small proportion of the total firms. </w:t>
      </w:r>
    </w:p>
    <w:p w14:paraId="3D5CFF38" w14:textId="35C65E42" w:rsidR="00FF0C77" w:rsidRPr="00FF0C77" w:rsidRDefault="009522B6" w:rsidP="005F615E">
      <w:pPr>
        <w:jc w:val="both"/>
        <w:rPr>
          <w:rFonts w:eastAsia="SimSun"/>
          <w:lang w:val="en-GB"/>
        </w:rPr>
      </w:pPr>
      <w:r>
        <w:rPr>
          <w:noProof/>
        </w:rPr>
        <mc:AlternateContent>
          <mc:Choice Requires="wps">
            <w:drawing>
              <wp:anchor distT="0" distB="0" distL="114300" distR="114300" simplePos="0" relativeHeight="251670528" behindDoc="0" locked="0" layoutInCell="1" allowOverlap="1" wp14:anchorId="42327127" wp14:editId="3AF0B24D">
                <wp:simplePos x="0" y="0"/>
                <wp:positionH relativeFrom="column">
                  <wp:posOffset>4445</wp:posOffset>
                </wp:positionH>
                <wp:positionV relativeFrom="paragraph">
                  <wp:posOffset>227965</wp:posOffset>
                </wp:positionV>
                <wp:extent cx="2894330" cy="179070"/>
                <wp:effectExtent l="0" t="0" r="1270" b="0"/>
                <wp:wrapSquare wrapText="bothSides"/>
                <wp:docPr id="8" name="Text Box 8"/>
                <wp:cNvGraphicFramePr/>
                <a:graphic xmlns:a="http://schemas.openxmlformats.org/drawingml/2006/main">
                  <a:graphicData uri="http://schemas.microsoft.com/office/word/2010/wordprocessingShape">
                    <wps:wsp>
                      <wps:cNvSpPr txBox="1"/>
                      <wps:spPr>
                        <a:xfrm>
                          <a:off x="0" y="0"/>
                          <a:ext cx="2894330" cy="179070"/>
                        </a:xfrm>
                        <a:prstGeom prst="rect">
                          <a:avLst/>
                        </a:prstGeom>
                        <a:solidFill>
                          <a:prstClr val="white"/>
                        </a:solidFill>
                        <a:ln>
                          <a:noFill/>
                        </a:ln>
                      </wps:spPr>
                      <wps:txbx>
                        <w:txbxContent>
                          <w:p w14:paraId="4150C393" w14:textId="4B480F8F" w:rsidR="00E12A2F" w:rsidRPr="006F5716" w:rsidRDefault="00E12A2F" w:rsidP="006F5716">
                            <w:pPr>
                              <w:pStyle w:val="Caption"/>
                              <w:rPr>
                                <w:rFonts w:eastAsia="SimSun"/>
                                <w:b/>
                                <w:bCs/>
                                <w:i w:val="0"/>
                                <w:iCs w:val="0"/>
                                <w:noProof/>
                                <w:color w:val="auto"/>
                              </w:rPr>
                            </w:pPr>
                            <w:r w:rsidRPr="006F5716">
                              <w:rPr>
                                <w:b/>
                                <w:bCs/>
                                <w:i w:val="0"/>
                                <w:iCs w:val="0"/>
                                <w:color w:val="auto"/>
                              </w:rPr>
                              <w:t xml:space="preserve">Table </w:t>
                            </w:r>
                            <w:r w:rsidRPr="006F5716">
                              <w:rPr>
                                <w:b/>
                                <w:bCs/>
                                <w:i w:val="0"/>
                                <w:iCs w:val="0"/>
                                <w:color w:val="auto"/>
                              </w:rPr>
                              <w:fldChar w:fldCharType="begin"/>
                            </w:r>
                            <w:r w:rsidRPr="006F5716">
                              <w:rPr>
                                <w:b/>
                                <w:bCs/>
                                <w:i w:val="0"/>
                                <w:iCs w:val="0"/>
                                <w:color w:val="auto"/>
                              </w:rPr>
                              <w:instrText xml:space="preserve"> SEQ Table \* ARABIC </w:instrText>
                            </w:r>
                            <w:r w:rsidRPr="006F5716">
                              <w:rPr>
                                <w:b/>
                                <w:bCs/>
                                <w:i w:val="0"/>
                                <w:iCs w:val="0"/>
                                <w:color w:val="auto"/>
                              </w:rPr>
                              <w:fldChar w:fldCharType="separate"/>
                            </w:r>
                            <w:r>
                              <w:rPr>
                                <w:b/>
                                <w:bCs/>
                                <w:i w:val="0"/>
                                <w:iCs w:val="0"/>
                                <w:noProof/>
                                <w:color w:val="auto"/>
                              </w:rPr>
                              <w:t>5</w:t>
                            </w:r>
                            <w:r w:rsidRPr="006F5716">
                              <w:rPr>
                                <w:b/>
                                <w:bCs/>
                                <w:i w:val="0"/>
                                <w:iCs w:val="0"/>
                                <w:color w:val="auto"/>
                              </w:rPr>
                              <w:fldChar w:fldCharType="end"/>
                            </w:r>
                            <w:r w:rsidRPr="006F5716">
                              <w:rPr>
                                <w:b/>
                                <w:bCs/>
                                <w:i w:val="0"/>
                                <w:iCs w:val="0"/>
                                <w:color w:val="auto"/>
                                <w:lang w:val="en-GB"/>
                              </w:rPr>
                              <w:t>: Analysis of small firms employing 10 to 19 workers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327127" id="Text Box 8" o:spid="_x0000_s1028" type="#_x0000_t202" style="position:absolute;left:0;text-align:left;margin-left:.35pt;margin-top:17.95pt;width:227.9pt;height:14.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" stroked="f">
                <v:textbox inset="0,0,0,0">
                  <w:txbxContent>
                    <w:p w14:paraId="4150C393" w14:textId="4B480F8F" w:rsidR="00E12A2F" w:rsidRPr="006F5716" w:rsidRDefault="00E12A2F" w:rsidP="006F5716">
                      <w:pPr>
                        <w:pStyle w:val="Caption"/>
                        <w:rPr>
                          <w:rFonts w:eastAsia="SimSun"/>
                          <w:b/>
                          <w:bCs/>
                          <w:i w:val="0"/>
                          <w:iCs w:val="0"/>
                          <w:noProof/>
                          <w:color w:val="auto"/>
                        </w:rPr>
                      </w:pPr>
                      <w:r w:rsidRPr="006F5716">
                        <w:rPr>
                          <w:b/>
                          <w:bCs/>
                          <w:i w:val="0"/>
                          <w:iCs w:val="0"/>
                          <w:color w:val="auto"/>
                        </w:rPr>
                        <w:t xml:space="preserve">Table </w:t>
                      </w:r>
                      <w:r w:rsidRPr="006F5716">
                        <w:rPr>
                          <w:b/>
                          <w:bCs/>
                          <w:i w:val="0"/>
                          <w:iCs w:val="0"/>
                          <w:color w:val="auto"/>
                        </w:rPr>
                        <w:fldChar w:fldCharType="begin"/>
                      </w:r>
                      <w:r w:rsidRPr="006F5716">
                        <w:rPr>
                          <w:b/>
                          <w:bCs/>
                          <w:i w:val="0"/>
                          <w:iCs w:val="0"/>
                          <w:color w:val="auto"/>
                        </w:rPr>
                        <w:instrText xml:space="preserve"> SEQ Table \* ARABIC </w:instrText>
                      </w:r>
                      <w:r w:rsidRPr="006F5716">
                        <w:rPr>
                          <w:b/>
                          <w:bCs/>
                          <w:i w:val="0"/>
                          <w:iCs w:val="0"/>
                          <w:color w:val="auto"/>
                        </w:rPr>
                        <w:fldChar w:fldCharType="separate"/>
                      </w:r>
                      <w:r>
                        <w:rPr>
                          <w:b/>
                          <w:bCs/>
                          <w:i w:val="0"/>
                          <w:iCs w:val="0"/>
                          <w:noProof/>
                          <w:color w:val="auto"/>
                        </w:rPr>
                        <w:t>5</w:t>
                      </w:r>
                      <w:r w:rsidRPr="006F5716">
                        <w:rPr>
                          <w:b/>
                          <w:bCs/>
                          <w:i w:val="0"/>
                          <w:iCs w:val="0"/>
                          <w:color w:val="auto"/>
                        </w:rPr>
                        <w:fldChar w:fldCharType="end"/>
                      </w:r>
                      <w:r w:rsidRPr="006F5716">
                        <w:rPr>
                          <w:b/>
                          <w:bCs/>
                          <w:i w:val="0"/>
                          <w:iCs w:val="0"/>
                          <w:color w:val="auto"/>
                          <w:lang w:val="en-GB"/>
                        </w:rPr>
                        <w:t>: Analysis of small firms employing 10 to 19 workers</w:t>
                      </w:r>
                    </w:p>
                  </w:txbxContent>
                </v:textbox>
                <w10:wrap type="square"/>
              </v:shape>
            </w:pict>
          </mc:Fallback>
        </mc:AlternateContent>
      </w:r>
    </w:p>
    <w:p w14:paraId="577BD2FD" w14:textId="7363C891" w:rsidR="002F5CC8" w:rsidRDefault="002F5CC8" w:rsidP="005F615E">
      <w:pPr>
        <w:spacing w:after="0" w:line="240" w:lineRule="auto"/>
        <w:jc w:val="both"/>
        <w:rPr>
          <w:rFonts w:eastAsia="SimSun" w:cstheme="minorHAnsi"/>
          <w:i/>
          <w:iCs/>
          <w:sz w:val="18"/>
          <w:szCs w:val="18"/>
          <w:lang w:val="en-GB"/>
        </w:rPr>
      </w:pPr>
      <w:r w:rsidRPr="002F5CC8">
        <w:rPr>
          <w:noProof/>
        </w:rPr>
        <w:drawing>
          <wp:inline distT="0" distB="0" distL="0" distR="0" wp14:anchorId="3EA2837B" wp14:editId="7B9AD747">
            <wp:extent cx="2891808" cy="1296000"/>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91808" cy="1296000"/>
                    </a:xfrm>
                    <a:prstGeom prst="rect">
                      <a:avLst/>
                    </a:prstGeom>
                    <a:noFill/>
                    <a:ln>
                      <a:noFill/>
                    </a:ln>
                  </pic:spPr>
                </pic:pic>
              </a:graphicData>
            </a:graphic>
          </wp:inline>
        </w:drawing>
      </w:r>
    </w:p>
    <w:p w14:paraId="6A7BC265" w14:textId="3A2C7B1D" w:rsidR="00FF0C77" w:rsidRDefault="00FF0C77" w:rsidP="005F615E">
      <w:pPr>
        <w:spacing w:after="0" w:line="240" w:lineRule="auto"/>
        <w:jc w:val="both"/>
        <w:rPr>
          <w:rFonts w:eastAsia="SimSun"/>
          <w:b/>
          <w:bCs/>
          <w:sz w:val="18"/>
          <w:szCs w:val="18"/>
          <w:lang w:val="en-GB"/>
        </w:rPr>
      </w:pPr>
      <w:r w:rsidRPr="00FF0C77">
        <w:rPr>
          <w:rFonts w:eastAsia="SimSun" w:cstheme="minorHAnsi"/>
          <w:i/>
          <w:iCs/>
          <w:sz w:val="18"/>
          <w:szCs w:val="18"/>
          <w:lang w:val="en-GB"/>
        </w:rPr>
        <w:t>Source: E-Cubed Consultants workings based on Eurostat data</w:t>
      </w:r>
      <w:r w:rsidRPr="00FF0C77">
        <w:rPr>
          <w:rFonts w:eastAsia="SimSun"/>
          <w:b/>
          <w:bCs/>
          <w:sz w:val="18"/>
          <w:szCs w:val="18"/>
          <w:lang w:val="en-GB"/>
        </w:rPr>
        <w:t xml:space="preserve"> </w:t>
      </w:r>
    </w:p>
    <w:p w14:paraId="79CD5C38" w14:textId="77777777" w:rsidR="00600CAA" w:rsidRDefault="00600CAA" w:rsidP="005F615E">
      <w:pPr>
        <w:spacing w:after="0" w:line="240" w:lineRule="auto"/>
        <w:contextualSpacing/>
        <w:jc w:val="both"/>
        <w:rPr>
          <w:rFonts w:eastAsia="SimSun"/>
          <w:lang w:val="en-GB"/>
        </w:rPr>
      </w:pPr>
    </w:p>
    <w:p w14:paraId="2E00CD7E" w14:textId="561262CD" w:rsidR="00600CAA" w:rsidRPr="00FF0C77" w:rsidRDefault="00600CAA" w:rsidP="005F615E">
      <w:pPr>
        <w:spacing w:after="0" w:line="240" w:lineRule="auto"/>
        <w:contextualSpacing/>
        <w:jc w:val="both"/>
        <w:rPr>
          <w:rFonts w:eastAsia="SimSun" w:cstheme="minorHAnsi"/>
          <w:lang w:val="en-GB"/>
        </w:rPr>
      </w:pPr>
      <w:r w:rsidRPr="00FF0C77">
        <w:rPr>
          <w:rFonts w:eastAsia="SimSun"/>
          <w:lang w:val="en-GB"/>
        </w:rPr>
        <w:t xml:space="preserve">Table 5 shows that although the turnover per firm of those employing between 10 to 19 employees is higher for firms in the Comparison Group when compared to the EU average, the cost to turnover ratio is also higher when compared to the EU average estimated at 74.1% and 73.3% respectively. </w:t>
      </w:r>
    </w:p>
    <w:p w14:paraId="28DD994D" w14:textId="77777777" w:rsidR="00FF0C77" w:rsidRPr="00FF0C77" w:rsidRDefault="00FF0C77" w:rsidP="005F615E">
      <w:pPr>
        <w:spacing w:after="0" w:line="240" w:lineRule="auto"/>
        <w:contextualSpacing/>
        <w:jc w:val="both"/>
        <w:rPr>
          <w:rFonts w:eastAsia="SimSun"/>
          <w:b/>
          <w:bCs/>
          <w:sz w:val="18"/>
          <w:szCs w:val="18"/>
          <w:lang w:val="en-GB"/>
        </w:rPr>
      </w:pPr>
    </w:p>
    <w:p w14:paraId="603EC2E9" w14:textId="67EA4F1C" w:rsidR="002650BD" w:rsidRPr="006F5716" w:rsidRDefault="00FF0C77" w:rsidP="005F615E">
      <w:pPr>
        <w:jc w:val="both"/>
        <w:rPr>
          <w:rFonts w:eastAsia="SimSun"/>
          <w:lang w:val="en-GB"/>
        </w:rPr>
      </w:pPr>
      <w:r w:rsidRPr="006F5716">
        <w:rPr>
          <w:rFonts w:eastAsia="SimSun"/>
          <w:lang w:val="en-GB"/>
        </w:rPr>
        <w:t xml:space="preserve">The category of </w:t>
      </w:r>
      <w:r w:rsidR="004D6DCB">
        <w:rPr>
          <w:rFonts w:eastAsia="SimSun"/>
          <w:lang w:val="en-GB"/>
        </w:rPr>
        <w:t>s</w:t>
      </w:r>
      <w:r w:rsidRPr="006F5716">
        <w:rPr>
          <w:rFonts w:eastAsia="SimSun"/>
          <w:lang w:val="en-GB"/>
        </w:rPr>
        <w:t xml:space="preserve">mall-sized firms which employ between 20 to 49 employees account for only 1.5% of all firms in countries with a relatively higher dependence on islands, as opposed to an average of 2.1% in other EU countries. Nonetheless, such firms provide a higher economic contribution per firm than those in the EU average. This category of firms registered an average turnover of around €6.5 million per firm in the Comparison Group as opposed to an average of €5.9 million in the EU average. </w:t>
      </w:r>
    </w:p>
    <w:p w14:paraId="584ED512" w14:textId="60783FCE" w:rsidR="00FF0C77" w:rsidRDefault="00FF0C77" w:rsidP="005F615E">
      <w:pPr>
        <w:jc w:val="both"/>
        <w:rPr>
          <w:rFonts w:eastAsia="SimSun"/>
          <w:lang w:val="en-GB"/>
        </w:rPr>
      </w:pPr>
      <w:r w:rsidRPr="006F5716">
        <w:rPr>
          <w:rFonts w:eastAsia="SimSun"/>
          <w:lang w:val="en-GB"/>
        </w:rPr>
        <w:t xml:space="preserve">The Gross Value Added per employee is also higher in countries with a higher dependence on islands when compared to the EU average estimated at €45,744 and €44,727 respectively. Table 7 shows that despite such contribution, the cost to turnover ratio of small-sized firms employing between 20 to 49 employees in the Comparison Group is found to be higher than the EU average, estimated at 77.6% and 76.2% respectively. Hence, although this category of firms account for a relatively small proportion of the total firms in the Comparison Group, their economic contribution merits attention to remedy the cost to turnover ratio to put them on a level playing field with those in the EU average.  </w:t>
      </w:r>
    </w:p>
    <w:p w14:paraId="0034A69E" w14:textId="0C9F5F5B" w:rsidR="004D6DCB" w:rsidRPr="006F5716" w:rsidRDefault="004D6DCB" w:rsidP="005F615E">
      <w:pPr>
        <w:pStyle w:val="Caption"/>
        <w:jc w:val="both"/>
        <w:rPr>
          <w:rFonts w:ascii="Arial" w:eastAsia="Arial" w:hAnsi="Arial" w:cs="Arial"/>
          <w:b/>
          <w:bCs/>
          <w:i w:val="0"/>
          <w:iCs w:val="0"/>
          <w:color w:val="auto"/>
          <w:lang w:val="en-GB" w:eastAsia="zh-CN"/>
        </w:rPr>
      </w:pPr>
      <w:r w:rsidRPr="004D6DCB">
        <w:rPr>
          <w:noProof/>
        </w:rPr>
        <w:drawing>
          <wp:anchor distT="0" distB="0" distL="114300" distR="114300" simplePos="0" relativeHeight="251675648" behindDoc="0" locked="0" layoutInCell="1" allowOverlap="1" wp14:anchorId="55379761" wp14:editId="4C03B000">
            <wp:simplePos x="0" y="0"/>
            <wp:positionH relativeFrom="margin">
              <wp:posOffset>-635</wp:posOffset>
            </wp:positionH>
            <wp:positionV relativeFrom="paragraph">
              <wp:posOffset>217442</wp:posOffset>
            </wp:positionV>
            <wp:extent cx="3216275" cy="952500"/>
            <wp:effectExtent l="0" t="0" r="317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16275" cy="952500"/>
                    </a:xfrm>
                    <a:prstGeom prst="rect">
                      <a:avLst/>
                    </a:prstGeom>
                    <a:noFill/>
                    <a:ln>
                      <a:noFill/>
                    </a:ln>
                  </pic:spPr>
                </pic:pic>
              </a:graphicData>
            </a:graphic>
          </wp:anchor>
        </w:drawing>
      </w:r>
      <w:r w:rsidRPr="006F5716">
        <w:rPr>
          <w:b/>
          <w:bCs/>
          <w:i w:val="0"/>
          <w:iCs w:val="0"/>
          <w:color w:val="auto"/>
        </w:rPr>
        <w:t xml:space="preserve">Table </w:t>
      </w:r>
      <w:r w:rsidRPr="006F5716">
        <w:rPr>
          <w:b/>
          <w:bCs/>
          <w:i w:val="0"/>
          <w:iCs w:val="0"/>
          <w:color w:val="auto"/>
        </w:rPr>
        <w:fldChar w:fldCharType="begin"/>
      </w:r>
      <w:r w:rsidRPr="006F5716">
        <w:rPr>
          <w:b/>
          <w:bCs/>
          <w:i w:val="0"/>
          <w:iCs w:val="0"/>
          <w:color w:val="auto"/>
        </w:rPr>
        <w:instrText xml:space="preserve"> SEQ Table \* ARABIC </w:instrText>
      </w:r>
      <w:r w:rsidRPr="006F5716">
        <w:rPr>
          <w:b/>
          <w:bCs/>
          <w:i w:val="0"/>
          <w:iCs w:val="0"/>
          <w:color w:val="auto"/>
        </w:rPr>
        <w:fldChar w:fldCharType="separate"/>
      </w:r>
      <w:r w:rsidR="00B60E45">
        <w:rPr>
          <w:b/>
          <w:bCs/>
          <w:i w:val="0"/>
          <w:iCs w:val="0"/>
          <w:noProof/>
          <w:color w:val="auto"/>
        </w:rPr>
        <w:t>6</w:t>
      </w:r>
      <w:r w:rsidRPr="006F5716">
        <w:rPr>
          <w:b/>
          <w:bCs/>
          <w:i w:val="0"/>
          <w:iCs w:val="0"/>
          <w:color w:val="auto"/>
        </w:rPr>
        <w:fldChar w:fldCharType="end"/>
      </w:r>
      <w:r w:rsidRPr="006F5716">
        <w:rPr>
          <w:b/>
          <w:bCs/>
          <w:i w:val="0"/>
          <w:iCs w:val="0"/>
          <w:color w:val="auto"/>
          <w:lang w:val="en-GB"/>
        </w:rPr>
        <w:t xml:space="preserve">: The ratio of </w:t>
      </w:r>
      <w:r>
        <w:rPr>
          <w:b/>
          <w:bCs/>
          <w:i w:val="0"/>
          <w:iCs w:val="0"/>
          <w:color w:val="auto"/>
          <w:lang w:val="en-GB"/>
        </w:rPr>
        <w:t>s</w:t>
      </w:r>
      <w:r w:rsidRPr="006F5716">
        <w:rPr>
          <w:b/>
          <w:bCs/>
          <w:i w:val="0"/>
          <w:iCs w:val="0"/>
          <w:color w:val="auto"/>
          <w:lang w:val="en-GB"/>
        </w:rPr>
        <w:t>mall firms employing 20 to 49 workers to the total</w:t>
      </w:r>
    </w:p>
    <w:p w14:paraId="33842A57" w14:textId="7E0FD847" w:rsidR="00FF0C77" w:rsidRPr="00FF0C77" w:rsidRDefault="004D6DCB" w:rsidP="005F615E">
      <w:pPr>
        <w:spacing w:after="0"/>
        <w:jc w:val="both"/>
        <w:rPr>
          <w:rFonts w:eastAsia="SimSun"/>
          <w:b/>
          <w:bCs/>
          <w:sz w:val="18"/>
          <w:szCs w:val="18"/>
          <w:lang w:val="en-GB"/>
        </w:rPr>
      </w:pPr>
      <w:r w:rsidRPr="004D6DCB">
        <w:rPr>
          <w:rFonts w:eastAsia="SimSun"/>
          <w:b/>
          <w:bCs/>
          <w:sz w:val="18"/>
          <w:szCs w:val="18"/>
          <w:lang w:val="en-GB"/>
        </w:rPr>
        <w:t xml:space="preserve"> </w:t>
      </w:r>
    </w:p>
    <w:p w14:paraId="100F8586" w14:textId="77777777" w:rsidR="004D6DCB" w:rsidRDefault="004D6DCB" w:rsidP="005F615E">
      <w:pPr>
        <w:spacing w:after="0" w:line="240" w:lineRule="auto"/>
        <w:jc w:val="both"/>
        <w:rPr>
          <w:rFonts w:eastAsia="SimSun" w:cstheme="minorHAnsi"/>
          <w:i/>
          <w:iCs/>
          <w:sz w:val="18"/>
          <w:szCs w:val="18"/>
          <w:lang w:val="en-GB"/>
        </w:rPr>
      </w:pPr>
    </w:p>
    <w:p w14:paraId="202B83C8" w14:textId="77777777" w:rsidR="004D6DCB" w:rsidRDefault="004D6DCB" w:rsidP="005F615E">
      <w:pPr>
        <w:spacing w:after="0" w:line="240" w:lineRule="auto"/>
        <w:jc w:val="both"/>
        <w:rPr>
          <w:rFonts w:eastAsia="SimSun" w:cstheme="minorHAnsi"/>
          <w:i/>
          <w:iCs/>
          <w:sz w:val="18"/>
          <w:szCs w:val="18"/>
          <w:lang w:val="en-GB"/>
        </w:rPr>
      </w:pPr>
    </w:p>
    <w:p w14:paraId="729E6B9C" w14:textId="77777777" w:rsidR="004D6DCB" w:rsidRDefault="004D6DCB" w:rsidP="005F615E">
      <w:pPr>
        <w:spacing w:after="0" w:line="240" w:lineRule="auto"/>
        <w:jc w:val="both"/>
        <w:rPr>
          <w:rFonts w:eastAsia="SimSun" w:cstheme="minorHAnsi"/>
          <w:i/>
          <w:iCs/>
          <w:sz w:val="18"/>
          <w:szCs w:val="18"/>
          <w:lang w:val="en-GB"/>
        </w:rPr>
      </w:pPr>
    </w:p>
    <w:p w14:paraId="23DB7F29" w14:textId="77777777" w:rsidR="004D6DCB" w:rsidRDefault="004D6DCB" w:rsidP="005F615E">
      <w:pPr>
        <w:spacing w:after="0" w:line="240" w:lineRule="auto"/>
        <w:jc w:val="both"/>
        <w:rPr>
          <w:rFonts w:eastAsia="SimSun" w:cstheme="minorHAnsi"/>
          <w:i/>
          <w:iCs/>
          <w:sz w:val="18"/>
          <w:szCs w:val="18"/>
          <w:lang w:val="en-GB"/>
        </w:rPr>
      </w:pPr>
    </w:p>
    <w:p w14:paraId="3298D7A0" w14:textId="77777777" w:rsidR="004D6DCB" w:rsidRDefault="004D6DCB" w:rsidP="005F615E">
      <w:pPr>
        <w:spacing w:after="0" w:line="240" w:lineRule="auto"/>
        <w:jc w:val="both"/>
        <w:rPr>
          <w:rFonts w:eastAsia="SimSun" w:cstheme="minorHAnsi"/>
          <w:i/>
          <w:iCs/>
          <w:sz w:val="18"/>
          <w:szCs w:val="18"/>
          <w:lang w:val="en-GB"/>
        </w:rPr>
      </w:pPr>
    </w:p>
    <w:p w14:paraId="64FFD52C" w14:textId="77777777" w:rsidR="004D6DCB" w:rsidRDefault="004D6DCB" w:rsidP="005F615E">
      <w:pPr>
        <w:spacing w:after="0" w:line="240" w:lineRule="auto"/>
        <w:contextualSpacing/>
        <w:jc w:val="both"/>
        <w:rPr>
          <w:rFonts w:eastAsia="SimSun" w:cstheme="minorHAnsi"/>
          <w:i/>
          <w:iCs/>
          <w:sz w:val="18"/>
          <w:szCs w:val="18"/>
          <w:lang w:val="en-GB"/>
        </w:rPr>
      </w:pPr>
    </w:p>
    <w:p w14:paraId="705926F1" w14:textId="2C94D6C4" w:rsidR="00FF0C77" w:rsidRPr="00FF0C77" w:rsidRDefault="00FF0C77" w:rsidP="005F615E">
      <w:pPr>
        <w:spacing w:after="0" w:line="240" w:lineRule="auto"/>
        <w:jc w:val="both"/>
        <w:rPr>
          <w:rFonts w:eastAsia="SimSun"/>
          <w:b/>
          <w:bCs/>
          <w:sz w:val="18"/>
          <w:szCs w:val="18"/>
          <w:lang w:val="en-GB"/>
        </w:rPr>
      </w:pPr>
      <w:r w:rsidRPr="00FF0C77">
        <w:rPr>
          <w:rFonts w:eastAsia="SimSun" w:cstheme="minorHAnsi"/>
          <w:i/>
          <w:iCs/>
          <w:sz w:val="18"/>
          <w:szCs w:val="18"/>
          <w:lang w:val="en-GB"/>
        </w:rPr>
        <w:t>Source: E-Cubed Consultants workings based on Eurostat data</w:t>
      </w:r>
      <w:r w:rsidRPr="00FF0C77">
        <w:rPr>
          <w:rFonts w:eastAsia="SimSun"/>
          <w:b/>
          <w:bCs/>
          <w:sz w:val="18"/>
          <w:szCs w:val="18"/>
          <w:lang w:val="en-GB"/>
        </w:rPr>
        <w:t xml:space="preserve"> </w:t>
      </w:r>
    </w:p>
    <w:p w14:paraId="4F03D785" w14:textId="77777777" w:rsidR="004D6DCB" w:rsidRPr="00FF0C77" w:rsidRDefault="004D6DCB" w:rsidP="005F615E">
      <w:pPr>
        <w:jc w:val="both"/>
        <w:rPr>
          <w:rFonts w:eastAsia="SimSun"/>
          <w:b/>
          <w:bCs/>
          <w:sz w:val="18"/>
          <w:szCs w:val="18"/>
          <w:lang w:val="en-GB"/>
        </w:rPr>
      </w:pPr>
    </w:p>
    <w:p w14:paraId="29491125" w14:textId="429FBBC5" w:rsidR="00FF0C77" w:rsidRPr="00FF0C77" w:rsidRDefault="004D6DCB" w:rsidP="005F615E">
      <w:pPr>
        <w:spacing w:after="0" w:line="240" w:lineRule="auto"/>
        <w:contextualSpacing/>
        <w:jc w:val="both"/>
        <w:rPr>
          <w:rFonts w:eastAsia="SimSun" w:cstheme="minorHAnsi"/>
          <w:i/>
          <w:iCs/>
          <w:sz w:val="18"/>
          <w:szCs w:val="18"/>
          <w:lang w:val="en-GB"/>
        </w:rPr>
      </w:pPr>
      <w:r>
        <w:rPr>
          <w:noProof/>
        </w:rPr>
        <mc:AlternateContent>
          <mc:Choice Requires="wps">
            <w:drawing>
              <wp:anchor distT="0" distB="0" distL="114300" distR="114300" simplePos="0" relativeHeight="251672576" behindDoc="0" locked="0" layoutInCell="1" allowOverlap="1" wp14:anchorId="30C80622" wp14:editId="4221217A">
                <wp:simplePos x="0" y="0"/>
                <wp:positionH relativeFrom="column">
                  <wp:posOffset>5080</wp:posOffset>
                </wp:positionH>
                <wp:positionV relativeFrom="paragraph">
                  <wp:posOffset>2540</wp:posOffset>
                </wp:positionV>
                <wp:extent cx="2993390" cy="19558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2993390" cy="195580"/>
                        </a:xfrm>
                        <a:prstGeom prst="rect">
                          <a:avLst/>
                        </a:prstGeom>
                        <a:solidFill>
                          <a:prstClr val="white"/>
                        </a:solidFill>
                        <a:ln>
                          <a:noFill/>
                        </a:ln>
                      </wps:spPr>
                      <wps:txbx>
                        <w:txbxContent>
                          <w:p w14:paraId="403E121E" w14:textId="2B1B2A44" w:rsidR="00E12A2F" w:rsidRPr="006F5716" w:rsidRDefault="00E12A2F" w:rsidP="006F5716">
                            <w:pPr>
                              <w:pStyle w:val="Caption"/>
                              <w:rPr>
                                <w:rFonts w:eastAsia="SimSun"/>
                                <w:b/>
                                <w:bCs/>
                                <w:i w:val="0"/>
                                <w:iCs w:val="0"/>
                                <w:noProof/>
                                <w:color w:val="auto"/>
                              </w:rPr>
                            </w:pPr>
                            <w:r w:rsidRPr="006F5716">
                              <w:rPr>
                                <w:b/>
                                <w:bCs/>
                                <w:i w:val="0"/>
                                <w:iCs w:val="0"/>
                                <w:color w:val="auto"/>
                              </w:rPr>
                              <w:t xml:space="preserve">Table </w:t>
                            </w:r>
                            <w:r w:rsidRPr="006F5716">
                              <w:rPr>
                                <w:b/>
                                <w:bCs/>
                                <w:i w:val="0"/>
                                <w:iCs w:val="0"/>
                                <w:color w:val="auto"/>
                              </w:rPr>
                              <w:fldChar w:fldCharType="begin"/>
                            </w:r>
                            <w:r w:rsidRPr="006F5716">
                              <w:rPr>
                                <w:b/>
                                <w:bCs/>
                                <w:i w:val="0"/>
                                <w:iCs w:val="0"/>
                                <w:color w:val="auto"/>
                              </w:rPr>
                              <w:instrText xml:space="preserve"> SEQ Table \* ARABIC </w:instrText>
                            </w:r>
                            <w:r w:rsidRPr="006F5716">
                              <w:rPr>
                                <w:b/>
                                <w:bCs/>
                                <w:i w:val="0"/>
                                <w:iCs w:val="0"/>
                                <w:color w:val="auto"/>
                              </w:rPr>
                              <w:fldChar w:fldCharType="separate"/>
                            </w:r>
                            <w:r>
                              <w:rPr>
                                <w:b/>
                                <w:bCs/>
                                <w:i w:val="0"/>
                                <w:iCs w:val="0"/>
                                <w:noProof/>
                                <w:color w:val="auto"/>
                              </w:rPr>
                              <w:t>7</w:t>
                            </w:r>
                            <w:r w:rsidRPr="006F5716">
                              <w:rPr>
                                <w:b/>
                                <w:bCs/>
                                <w:i w:val="0"/>
                                <w:iCs w:val="0"/>
                                <w:color w:val="auto"/>
                              </w:rPr>
                              <w:fldChar w:fldCharType="end"/>
                            </w:r>
                            <w:r w:rsidRPr="006F5716">
                              <w:rPr>
                                <w:b/>
                                <w:bCs/>
                                <w:i w:val="0"/>
                                <w:iCs w:val="0"/>
                                <w:color w:val="auto"/>
                                <w:lang w:val="en-GB"/>
                              </w:rPr>
                              <w:t>: Analysis of small firms employing 20 to 49 workers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C80622" id="Text Box 14" o:spid="_x0000_s1029" type="#_x0000_t202" style="position:absolute;left:0;text-align:left;margin-left:.4pt;margin-top:.2pt;width:235.7pt;height:15.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" stroked="f">
                <v:textbox inset="0,0,0,0">
                  <w:txbxContent>
                    <w:p w14:paraId="403E121E" w14:textId="2B1B2A44" w:rsidR="00E12A2F" w:rsidRPr="006F5716" w:rsidRDefault="00E12A2F" w:rsidP="006F5716">
                      <w:pPr>
                        <w:pStyle w:val="Caption"/>
                        <w:rPr>
                          <w:rFonts w:eastAsia="SimSun"/>
                          <w:b/>
                          <w:bCs/>
                          <w:i w:val="0"/>
                          <w:iCs w:val="0"/>
                          <w:noProof/>
                          <w:color w:val="auto"/>
                        </w:rPr>
                      </w:pPr>
                      <w:r w:rsidRPr="006F5716">
                        <w:rPr>
                          <w:b/>
                          <w:bCs/>
                          <w:i w:val="0"/>
                          <w:iCs w:val="0"/>
                          <w:color w:val="auto"/>
                        </w:rPr>
                        <w:t xml:space="preserve">Table </w:t>
                      </w:r>
                      <w:r w:rsidRPr="006F5716">
                        <w:rPr>
                          <w:b/>
                          <w:bCs/>
                          <w:i w:val="0"/>
                          <w:iCs w:val="0"/>
                          <w:color w:val="auto"/>
                        </w:rPr>
                        <w:fldChar w:fldCharType="begin"/>
                      </w:r>
                      <w:r w:rsidRPr="006F5716">
                        <w:rPr>
                          <w:b/>
                          <w:bCs/>
                          <w:i w:val="0"/>
                          <w:iCs w:val="0"/>
                          <w:color w:val="auto"/>
                        </w:rPr>
                        <w:instrText xml:space="preserve"> SEQ Table \* ARABIC </w:instrText>
                      </w:r>
                      <w:r w:rsidRPr="006F5716">
                        <w:rPr>
                          <w:b/>
                          <w:bCs/>
                          <w:i w:val="0"/>
                          <w:iCs w:val="0"/>
                          <w:color w:val="auto"/>
                        </w:rPr>
                        <w:fldChar w:fldCharType="separate"/>
                      </w:r>
                      <w:r>
                        <w:rPr>
                          <w:b/>
                          <w:bCs/>
                          <w:i w:val="0"/>
                          <w:iCs w:val="0"/>
                          <w:noProof/>
                          <w:color w:val="auto"/>
                        </w:rPr>
                        <w:t>7</w:t>
                      </w:r>
                      <w:r w:rsidRPr="006F5716">
                        <w:rPr>
                          <w:b/>
                          <w:bCs/>
                          <w:i w:val="0"/>
                          <w:iCs w:val="0"/>
                          <w:color w:val="auto"/>
                        </w:rPr>
                        <w:fldChar w:fldCharType="end"/>
                      </w:r>
                      <w:r w:rsidRPr="006F5716">
                        <w:rPr>
                          <w:b/>
                          <w:bCs/>
                          <w:i w:val="0"/>
                          <w:iCs w:val="0"/>
                          <w:color w:val="auto"/>
                          <w:lang w:val="en-GB"/>
                        </w:rPr>
                        <w:t>: Analysis of small firms employing 20 to 49 workers</w:t>
                      </w:r>
                    </w:p>
                  </w:txbxContent>
                </v:textbox>
                <w10:wrap type="square"/>
              </v:shape>
            </w:pict>
          </mc:Fallback>
        </mc:AlternateContent>
      </w:r>
    </w:p>
    <w:p w14:paraId="31478E92" w14:textId="7252D1BD" w:rsidR="004D6DCB" w:rsidRDefault="002F5CC8" w:rsidP="005F615E">
      <w:pPr>
        <w:spacing w:after="0" w:line="240" w:lineRule="auto"/>
        <w:contextualSpacing/>
        <w:jc w:val="both"/>
        <w:rPr>
          <w:rFonts w:eastAsia="SimSun" w:cstheme="minorHAnsi"/>
          <w:i/>
          <w:iCs/>
          <w:sz w:val="18"/>
          <w:szCs w:val="18"/>
          <w:lang w:val="en-GB"/>
        </w:rPr>
      </w:pPr>
      <w:r w:rsidRPr="002F5CC8">
        <w:rPr>
          <w:noProof/>
        </w:rPr>
        <w:drawing>
          <wp:inline distT="0" distB="0" distL="0" distR="0" wp14:anchorId="65409207" wp14:editId="5224FB86">
            <wp:extent cx="3136379" cy="1353600"/>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36379" cy="1353600"/>
                    </a:xfrm>
                    <a:prstGeom prst="rect">
                      <a:avLst/>
                    </a:prstGeom>
                    <a:noFill/>
                    <a:ln>
                      <a:noFill/>
                    </a:ln>
                  </pic:spPr>
                </pic:pic>
              </a:graphicData>
            </a:graphic>
          </wp:inline>
        </w:drawing>
      </w:r>
    </w:p>
    <w:p w14:paraId="7323913B" w14:textId="63864665" w:rsidR="00FF0C77" w:rsidRPr="00FF0C77" w:rsidRDefault="00FF0C77" w:rsidP="005F615E">
      <w:pPr>
        <w:spacing w:after="0" w:line="240" w:lineRule="auto"/>
        <w:contextualSpacing/>
        <w:jc w:val="both"/>
        <w:rPr>
          <w:rFonts w:eastAsia="SimSun"/>
          <w:b/>
          <w:bCs/>
          <w:sz w:val="18"/>
          <w:szCs w:val="18"/>
          <w:lang w:val="en-GB"/>
        </w:rPr>
      </w:pPr>
      <w:r w:rsidRPr="00FF0C77">
        <w:rPr>
          <w:rFonts w:eastAsia="SimSun" w:cstheme="minorHAnsi"/>
          <w:i/>
          <w:iCs/>
          <w:sz w:val="18"/>
          <w:szCs w:val="18"/>
          <w:lang w:val="en-GB"/>
        </w:rPr>
        <w:t>Source: E-Cubed Consultants workings based on Eurostat data</w:t>
      </w:r>
      <w:r w:rsidRPr="00FF0C77">
        <w:rPr>
          <w:rFonts w:eastAsia="SimSun"/>
          <w:b/>
          <w:bCs/>
          <w:sz w:val="18"/>
          <w:szCs w:val="18"/>
          <w:lang w:val="en-GB"/>
        </w:rPr>
        <w:t xml:space="preserve"> </w:t>
      </w:r>
    </w:p>
    <w:p w14:paraId="368767A4" w14:textId="77777777" w:rsidR="00FF0C77" w:rsidRPr="00FF0C77" w:rsidRDefault="00FF0C77" w:rsidP="005F615E">
      <w:pPr>
        <w:spacing w:after="0" w:line="240" w:lineRule="auto"/>
        <w:contextualSpacing/>
        <w:jc w:val="both"/>
        <w:rPr>
          <w:rFonts w:eastAsia="SimSun"/>
          <w:b/>
          <w:bCs/>
          <w:sz w:val="10"/>
          <w:szCs w:val="10"/>
          <w:lang w:val="en-GB"/>
        </w:rPr>
      </w:pPr>
    </w:p>
    <w:p w14:paraId="039FC4F1" w14:textId="1EEFFB5B" w:rsidR="00FF0C77" w:rsidRDefault="00FF0C77" w:rsidP="005F615E">
      <w:pPr>
        <w:spacing w:before="240" w:after="240"/>
        <w:jc w:val="both"/>
        <w:rPr>
          <w:rFonts w:eastAsia="SimSun"/>
          <w:lang w:val="en-GB"/>
        </w:rPr>
      </w:pPr>
      <w:r w:rsidRPr="00FF0C77">
        <w:rPr>
          <w:rFonts w:eastAsia="SimSun"/>
          <w:lang w:val="en-GB"/>
        </w:rPr>
        <w:t xml:space="preserve">Firms employing 50 to 250 employees, that is, medium and large firms are considered in one category as ‘Other Firms’ in this analysis based on the assumption that such firms are not particularly interested in the </w:t>
      </w:r>
      <w:r w:rsidR="00600CAA">
        <w:rPr>
          <w:rFonts w:eastAsia="SimSun"/>
          <w:lang w:val="en-GB"/>
        </w:rPr>
        <w:t>d</w:t>
      </w:r>
      <w:r w:rsidRPr="00FF0C77">
        <w:rPr>
          <w:rFonts w:eastAsia="SimSun"/>
          <w:lang w:val="en-GB"/>
        </w:rPr>
        <w:t xml:space="preserve">e </w:t>
      </w:r>
      <w:r w:rsidR="00600CAA">
        <w:rPr>
          <w:rFonts w:eastAsia="SimSun"/>
          <w:lang w:val="en-GB"/>
        </w:rPr>
        <w:t>m</w:t>
      </w:r>
      <w:r w:rsidRPr="00FF0C77">
        <w:rPr>
          <w:rFonts w:eastAsia="SimSun"/>
          <w:lang w:val="en-GB"/>
        </w:rPr>
        <w:t xml:space="preserve">inimis aid given their relatively large turnover per employee as opposed to smaller firms which require additional support to graduate and reach a level playing field with larger ones. In fact, the average turnover per firm in this category is estimated at €84.9 million and €85.2 million for the EU average and the Comparison Group respectively, highlighting a higher turnover earned by Medium and Large firms in countries with a higher dependence on islands. The costs to turnover ratio of Medium and Large firms within the Comparison Group is found to be around 0.4 p.p lower than that </w:t>
      </w:r>
      <w:r w:rsidR="002650BD">
        <w:rPr>
          <w:rFonts w:eastAsia="SimSun"/>
          <w:lang w:val="en-GB"/>
        </w:rPr>
        <w:t xml:space="preserve">of </w:t>
      </w:r>
      <w:r w:rsidRPr="00FF0C77">
        <w:rPr>
          <w:rFonts w:eastAsia="SimSun"/>
          <w:lang w:val="en-GB"/>
        </w:rPr>
        <w:t xml:space="preserve">the EU </w:t>
      </w:r>
      <w:r w:rsidR="00600CAA">
        <w:rPr>
          <w:rFonts w:eastAsia="SimSun"/>
          <w:lang w:val="en-GB"/>
        </w:rPr>
        <w:t>a</w:t>
      </w:r>
      <w:r w:rsidRPr="00FF0C77">
        <w:rPr>
          <w:rFonts w:eastAsia="SimSun"/>
          <w:lang w:val="en-GB"/>
        </w:rPr>
        <w:t xml:space="preserve">verage highlighting that </w:t>
      </w:r>
      <w:r w:rsidR="00600CAA">
        <w:rPr>
          <w:rFonts w:eastAsia="SimSun"/>
          <w:lang w:val="en-GB"/>
        </w:rPr>
        <w:t>m</w:t>
      </w:r>
      <w:r w:rsidRPr="00FF0C77">
        <w:rPr>
          <w:rFonts w:eastAsia="SimSun"/>
          <w:lang w:val="en-GB"/>
        </w:rPr>
        <w:t xml:space="preserve">edium to </w:t>
      </w:r>
      <w:r w:rsidR="00600CAA">
        <w:rPr>
          <w:rFonts w:eastAsia="SimSun"/>
          <w:lang w:val="en-GB"/>
        </w:rPr>
        <w:t>l</w:t>
      </w:r>
      <w:r w:rsidRPr="00FF0C77">
        <w:rPr>
          <w:rFonts w:eastAsia="SimSun"/>
          <w:lang w:val="en-GB"/>
        </w:rPr>
        <w:t xml:space="preserve">arge firms in those countries have a higher dependence on the economic activity of islands </w:t>
      </w:r>
      <w:r w:rsidR="002650BD">
        <w:rPr>
          <w:rFonts w:eastAsia="SimSun"/>
          <w:lang w:val="en-GB"/>
        </w:rPr>
        <w:t xml:space="preserve">and </w:t>
      </w:r>
      <w:r w:rsidRPr="00FF0C77">
        <w:rPr>
          <w:rFonts w:eastAsia="SimSun"/>
          <w:lang w:val="en-GB"/>
        </w:rPr>
        <w:t xml:space="preserve">incur lower costs when compared to other EU countries. </w:t>
      </w:r>
    </w:p>
    <w:p w14:paraId="38F03B29" w14:textId="72697C9A" w:rsidR="004D6DCB" w:rsidRPr="006F5716" w:rsidRDefault="004D6DCB" w:rsidP="005F615E">
      <w:pPr>
        <w:spacing w:before="240" w:after="240"/>
        <w:jc w:val="both"/>
        <w:rPr>
          <w:rFonts w:eastAsia="SimSun"/>
          <w:sz w:val="2"/>
          <w:szCs w:val="2"/>
          <w:lang w:val="en-GB"/>
        </w:rPr>
      </w:pPr>
      <w:r>
        <w:rPr>
          <w:noProof/>
        </w:rPr>
        <mc:AlternateContent>
          <mc:Choice Requires="wps">
            <w:drawing>
              <wp:anchor distT="0" distB="0" distL="114300" distR="114300" simplePos="0" relativeHeight="251674624" behindDoc="0" locked="0" layoutInCell="1" allowOverlap="1" wp14:anchorId="6A9C64A9" wp14:editId="53DE17AE">
                <wp:simplePos x="0" y="0"/>
                <wp:positionH relativeFrom="margin">
                  <wp:align>left</wp:align>
                </wp:positionH>
                <wp:positionV relativeFrom="paragraph">
                  <wp:posOffset>109492</wp:posOffset>
                </wp:positionV>
                <wp:extent cx="3086100" cy="15748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3086100" cy="157480"/>
                        </a:xfrm>
                        <a:prstGeom prst="rect">
                          <a:avLst/>
                        </a:prstGeom>
                        <a:solidFill>
                          <a:prstClr val="white"/>
                        </a:solidFill>
                        <a:ln>
                          <a:noFill/>
                        </a:ln>
                      </wps:spPr>
                      <wps:txbx>
                        <w:txbxContent>
                          <w:p w14:paraId="22762731" w14:textId="5E82E1AB" w:rsidR="00E12A2F" w:rsidRPr="006F5716" w:rsidRDefault="00E12A2F" w:rsidP="006F5716">
                            <w:pPr>
                              <w:pStyle w:val="Caption"/>
                              <w:rPr>
                                <w:rFonts w:eastAsia="SimSun"/>
                                <w:b/>
                                <w:bCs/>
                                <w:i w:val="0"/>
                                <w:iCs w:val="0"/>
                                <w:noProof/>
                                <w:color w:val="auto"/>
                              </w:rPr>
                            </w:pPr>
                            <w:r w:rsidRPr="006F5716">
                              <w:rPr>
                                <w:b/>
                                <w:bCs/>
                                <w:i w:val="0"/>
                                <w:iCs w:val="0"/>
                                <w:color w:val="auto"/>
                              </w:rPr>
                              <w:t xml:space="preserve">Table </w:t>
                            </w:r>
                            <w:r w:rsidRPr="006F5716">
                              <w:rPr>
                                <w:b/>
                                <w:bCs/>
                                <w:i w:val="0"/>
                                <w:iCs w:val="0"/>
                                <w:color w:val="auto"/>
                              </w:rPr>
                              <w:fldChar w:fldCharType="begin"/>
                            </w:r>
                            <w:r w:rsidRPr="006F5716">
                              <w:rPr>
                                <w:b/>
                                <w:bCs/>
                                <w:i w:val="0"/>
                                <w:iCs w:val="0"/>
                                <w:color w:val="auto"/>
                              </w:rPr>
                              <w:instrText xml:space="preserve"> SEQ Table \* ARABIC </w:instrText>
                            </w:r>
                            <w:r w:rsidRPr="006F5716">
                              <w:rPr>
                                <w:b/>
                                <w:bCs/>
                                <w:i w:val="0"/>
                                <w:iCs w:val="0"/>
                                <w:color w:val="auto"/>
                              </w:rPr>
                              <w:fldChar w:fldCharType="separate"/>
                            </w:r>
                            <w:r>
                              <w:rPr>
                                <w:b/>
                                <w:bCs/>
                                <w:i w:val="0"/>
                                <w:iCs w:val="0"/>
                                <w:noProof/>
                                <w:color w:val="auto"/>
                              </w:rPr>
                              <w:t>8</w:t>
                            </w:r>
                            <w:r w:rsidRPr="006F5716">
                              <w:rPr>
                                <w:b/>
                                <w:bCs/>
                                <w:i w:val="0"/>
                                <w:iCs w:val="0"/>
                                <w:color w:val="auto"/>
                              </w:rPr>
                              <w:fldChar w:fldCharType="end"/>
                            </w:r>
                            <w:r w:rsidRPr="006F5716">
                              <w:rPr>
                                <w:b/>
                                <w:bCs/>
                                <w:i w:val="0"/>
                                <w:iCs w:val="0"/>
                                <w:color w:val="auto"/>
                                <w:lang w:val="en-GB"/>
                              </w:rPr>
                              <w:t>: Analysis of all other firms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9C64A9" id="Text Box 15" o:spid="_x0000_s1030" type="#_x0000_t202" style="position:absolute;left:0;text-align:left;margin-left:0;margin-top:8.6pt;width:243pt;height:12.4pt;z-index:2516746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" stroked="f">
                <v:textbox inset="0,0,0,0">
                  <w:txbxContent>
                    <w:p w14:paraId="22762731" w14:textId="5E82E1AB" w:rsidR="00E12A2F" w:rsidRPr="006F5716" w:rsidRDefault="00E12A2F" w:rsidP="006F5716">
                      <w:pPr>
                        <w:pStyle w:val="Caption"/>
                        <w:rPr>
                          <w:rFonts w:eastAsia="SimSun"/>
                          <w:b/>
                          <w:bCs/>
                          <w:i w:val="0"/>
                          <w:iCs w:val="0"/>
                          <w:noProof/>
                          <w:color w:val="auto"/>
                        </w:rPr>
                      </w:pPr>
                      <w:r w:rsidRPr="006F5716">
                        <w:rPr>
                          <w:b/>
                          <w:bCs/>
                          <w:i w:val="0"/>
                          <w:iCs w:val="0"/>
                          <w:color w:val="auto"/>
                        </w:rPr>
                        <w:t xml:space="preserve">Table </w:t>
                      </w:r>
                      <w:r w:rsidRPr="006F5716">
                        <w:rPr>
                          <w:b/>
                          <w:bCs/>
                          <w:i w:val="0"/>
                          <w:iCs w:val="0"/>
                          <w:color w:val="auto"/>
                        </w:rPr>
                        <w:fldChar w:fldCharType="begin"/>
                      </w:r>
                      <w:r w:rsidRPr="006F5716">
                        <w:rPr>
                          <w:b/>
                          <w:bCs/>
                          <w:i w:val="0"/>
                          <w:iCs w:val="0"/>
                          <w:color w:val="auto"/>
                        </w:rPr>
                        <w:instrText xml:space="preserve"> SEQ Table \* ARABIC </w:instrText>
                      </w:r>
                      <w:r w:rsidRPr="006F5716">
                        <w:rPr>
                          <w:b/>
                          <w:bCs/>
                          <w:i w:val="0"/>
                          <w:iCs w:val="0"/>
                          <w:color w:val="auto"/>
                        </w:rPr>
                        <w:fldChar w:fldCharType="separate"/>
                      </w:r>
                      <w:r>
                        <w:rPr>
                          <w:b/>
                          <w:bCs/>
                          <w:i w:val="0"/>
                          <w:iCs w:val="0"/>
                          <w:noProof/>
                          <w:color w:val="auto"/>
                        </w:rPr>
                        <w:t>8</w:t>
                      </w:r>
                      <w:r w:rsidRPr="006F5716">
                        <w:rPr>
                          <w:b/>
                          <w:bCs/>
                          <w:i w:val="0"/>
                          <w:iCs w:val="0"/>
                          <w:color w:val="auto"/>
                        </w:rPr>
                        <w:fldChar w:fldCharType="end"/>
                      </w:r>
                      <w:r w:rsidRPr="006F5716">
                        <w:rPr>
                          <w:b/>
                          <w:bCs/>
                          <w:i w:val="0"/>
                          <w:iCs w:val="0"/>
                          <w:color w:val="auto"/>
                          <w:lang w:val="en-GB"/>
                        </w:rPr>
                        <w:t>: Analysis of all other firms</w:t>
                      </w:r>
                    </w:p>
                  </w:txbxContent>
                </v:textbox>
                <w10:wrap type="square" anchorx="margin"/>
              </v:shape>
            </w:pict>
          </mc:Fallback>
        </mc:AlternateContent>
      </w:r>
    </w:p>
    <w:p w14:paraId="540F98F8" w14:textId="3A79816D" w:rsidR="00FF0C77" w:rsidRPr="00FF0C77" w:rsidRDefault="00FF0C77" w:rsidP="005F615E">
      <w:pPr>
        <w:spacing w:after="0" w:line="240" w:lineRule="auto"/>
        <w:contextualSpacing/>
        <w:jc w:val="both"/>
        <w:rPr>
          <w:rFonts w:eastAsia="SimSun" w:cstheme="minorHAnsi"/>
          <w:i/>
          <w:iCs/>
          <w:sz w:val="18"/>
          <w:szCs w:val="18"/>
          <w:lang w:val="en-GB"/>
        </w:rPr>
      </w:pPr>
    </w:p>
    <w:p w14:paraId="76FE53EC" w14:textId="2DED2D84" w:rsidR="00FF0C77" w:rsidRPr="00FF0C77" w:rsidRDefault="002F5CC8" w:rsidP="005F615E">
      <w:pPr>
        <w:spacing w:after="0" w:line="240" w:lineRule="auto"/>
        <w:jc w:val="both"/>
        <w:rPr>
          <w:rFonts w:eastAsia="SimSun" w:cstheme="minorHAnsi"/>
          <w:i/>
          <w:iCs/>
          <w:sz w:val="18"/>
          <w:szCs w:val="18"/>
          <w:lang w:val="en-GB"/>
        </w:rPr>
      </w:pPr>
      <w:r w:rsidRPr="002F5CC8">
        <w:rPr>
          <w:noProof/>
        </w:rPr>
        <w:drawing>
          <wp:inline distT="0" distB="0" distL="0" distR="0" wp14:anchorId="4EF72A2D" wp14:editId="53533045">
            <wp:extent cx="3081983" cy="1393200"/>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81983" cy="1393200"/>
                    </a:xfrm>
                    <a:prstGeom prst="rect">
                      <a:avLst/>
                    </a:prstGeom>
                    <a:noFill/>
                    <a:ln>
                      <a:noFill/>
                    </a:ln>
                  </pic:spPr>
                </pic:pic>
              </a:graphicData>
            </a:graphic>
          </wp:inline>
        </w:drawing>
      </w:r>
    </w:p>
    <w:p w14:paraId="15E68A09" w14:textId="77777777" w:rsidR="00FF0C77" w:rsidRPr="00FF0C77" w:rsidRDefault="00FF0C77" w:rsidP="005F615E">
      <w:pPr>
        <w:spacing w:after="0" w:line="240" w:lineRule="auto"/>
        <w:jc w:val="both"/>
        <w:rPr>
          <w:rFonts w:eastAsia="SimSun"/>
          <w:lang w:val="en-GB"/>
        </w:rPr>
      </w:pPr>
      <w:r w:rsidRPr="00FF0C77">
        <w:rPr>
          <w:rFonts w:eastAsia="SimSun" w:cstheme="minorHAnsi"/>
          <w:i/>
          <w:iCs/>
          <w:sz w:val="18"/>
          <w:szCs w:val="18"/>
          <w:lang w:val="en-GB"/>
        </w:rPr>
        <w:t>Source: E-Cubed Consultants workings based on Eurostat data</w:t>
      </w:r>
    </w:p>
    <w:p w14:paraId="484A3424" w14:textId="77777777" w:rsidR="00FF0C77" w:rsidRPr="00FF0C77" w:rsidRDefault="00FF0C77" w:rsidP="005F615E">
      <w:pPr>
        <w:jc w:val="both"/>
        <w:rPr>
          <w:rFonts w:eastAsia="SimSun"/>
          <w:lang w:val="en-GB"/>
        </w:rPr>
      </w:pPr>
    </w:p>
    <w:p w14:paraId="2E8F2D45" w14:textId="3C6FE9FB" w:rsidR="002650BD" w:rsidRDefault="00FF0C77" w:rsidP="005F615E">
      <w:pPr>
        <w:jc w:val="both"/>
        <w:rPr>
          <w:rFonts w:eastAsia="SimSun"/>
          <w:lang w:val="en-GB"/>
        </w:rPr>
      </w:pPr>
      <w:r w:rsidRPr="00FF0C77">
        <w:rPr>
          <w:rFonts w:eastAsia="SimSun"/>
          <w:lang w:val="en-GB"/>
        </w:rPr>
        <w:t xml:space="preserve">As </w:t>
      </w:r>
      <w:r w:rsidR="004410C6">
        <w:rPr>
          <w:rFonts w:eastAsia="SimSun"/>
          <w:lang w:val="en-GB"/>
        </w:rPr>
        <w:t>indicated</w:t>
      </w:r>
      <w:r w:rsidRPr="00FF0C77">
        <w:rPr>
          <w:rFonts w:eastAsia="SimSun"/>
          <w:lang w:val="en-GB"/>
        </w:rPr>
        <w:t xml:space="preserve"> above, </w:t>
      </w:r>
      <w:r w:rsidR="00600CAA">
        <w:rPr>
          <w:rFonts w:eastAsia="SimSun"/>
          <w:lang w:val="en-GB"/>
        </w:rPr>
        <w:t>d</w:t>
      </w:r>
      <w:r w:rsidRPr="00FF0C77">
        <w:rPr>
          <w:rFonts w:eastAsia="SimSun"/>
          <w:lang w:val="en-GB"/>
        </w:rPr>
        <w:t xml:space="preserve">e minimis aid is attractive to </w:t>
      </w:r>
      <w:r w:rsidR="002650BD">
        <w:rPr>
          <w:rFonts w:eastAsia="SimSun"/>
          <w:lang w:val="en-GB"/>
        </w:rPr>
        <w:t>s</w:t>
      </w:r>
      <w:r w:rsidRPr="00FF0C77">
        <w:rPr>
          <w:rFonts w:eastAsia="SimSun"/>
          <w:lang w:val="en-GB"/>
        </w:rPr>
        <w:t xml:space="preserve">mall enterprises, particularly those employing around 20 to 49 employees in order to be </w:t>
      </w:r>
      <w:r w:rsidR="002650BD">
        <w:rPr>
          <w:rFonts w:eastAsia="SimSun"/>
          <w:lang w:val="en-GB"/>
        </w:rPr>
        <w:t xml:space="preserve">sustained and possibly </w:t>
      </w:r>
      <w:r w:rsidRPr="00FF0C77">
        <w:rPr>
          <w:rFonts w:eastAsia="SimSun"/>
          <w:lang w:val="en-GB"/>
        </w:rPr>
        <w:t xml:space="preserve">graduate </w:t>
      </w:r>
      <w:r w:rsidR="002650BD">
        <w:rPr>
          <w:rFonts w:eastAsia="SimSun"/>
          <w:lang w:val="en-GB"/>
        </w:rPr>
        <w:t>to a higher level</w:t>
      </w:r>
      <w:r w:rsidRPr="00FF0C77">
        <w:rPr>
          <w:rFonts w:eastAsia="SimSun"/>
          <w:lang w:val="en-GB"/>
        </w:rPr>
        <w:t xml:space="preserve">. The cost of doing business of a </w:t>
      </w:r>
      <w:r w:rsidR="002650BD">
        <w:rPr>
          <w:rFonts w:eastAsia="SimSun"/>
          <w:lang w:val="en-GB"/>
        </w:rPr>
        <w:t>s</w:t>
      </w:r>
      <w:r w:rsidRPr="00FF0C77">
        <w:rPr>
          <w:rFonts w:eastAsia="SimSun"/>
          <w:lang w:val="en-GB"/>
        </w:rPr>
        <w:t xml:space="preserve">mall firm employing between 20 to 49 </w:t>
      </w:r>
      <w:r w:rsidR="002650BD">
        <w:rPr>
          <w:rFonts w:eastAsia="SimSun"/>
          <w:lang w:val="en-GB"/>
        </w:rPr>
        <w:t xml:space="preserve">workers </w:t>
      </w:r>
      <w:r w:rsidRPr="00FF0C77">
        <w:rPr>
          <w:rFonts w:eastAsia="SimSun"/>
          <w:lang w:val="en-GB"/>
        </w:rPr>
        <w:t xml:space="preserve">is found by deducting the costs to turnover ratio of the Comparison Group from that of the EU average and multiplying this by the turnover per firm of the Comparison Group. </w:t>
      </w:r>
    </w:p>
    <w:p w14:paraId="7936A4F2" w14:textId="3193F06D" w:rsidR="00A53FF2" w:rsidRDefault="00FF0C77" w:rsidP="005F615E">
      <w:pPr>
        <w:jc w:val="both"/>
        <w:rPr>
          <w:rFonts w:eastAsia="SimSun"/>
          <w:lang w:val="en-GB"/>
        </w:rPr>
      </w:pPr>
      <w:r w:rsidRPr="00FF0C77">
        <w:rPr>
          <w:rFonts w:eastAsia="SimSun"/>
          <w:lang w:val="en-GB"/>
        </w:rPr>
        <w:t>It is estimated that a small firm operating in countries with a high dependence on islands incur an additional cost of around €93,027 per annum when compared to the EU average, which rounds up to around €300,000 over a period of three years</w:t>
      </w:r>
      <w:r w:rsidR="00A53FF2">
        <w:rPr>
          <w:rStyle w:val="FootnoteReference"/>
          <w:rFonts w:eastAsia="SimSun"/>
          <w:lang w:val="en-GB"/>
        </w:rPr>
        <w:footnoteReference w:id="26"/>
      </w:r>
      <w:r w:rsidRPr="00FF0C77">
        <w:rPr>
          <w:rFonts w:eastAsia="SimSun"/>
          <w:lang w:val="en-GB"/>
        </w:rPr>
        <w:t xml:space="preserve">. </w:t>
      </w:r>
    </w:p>
    <w:p w14:paraId="2BF0D77A" w14:textId="6382A8C4" w:rsidR="002C4818" w:rsidRPr="006F5716" w:rsidRDefault="00FF0C77" w:rsidP="005F615E">
      <w:pPr>
        <w:spacing w:after="0" w:line="240" w:lineRule="auto"/>
        <w:jc w:val="both"/>
        <w:rPr>
          <w:rFonts w:cs="Arial"/>
          <w:b/>
          <w:bCs/>
          <w:lang w:val="en-GB"/>
        </w:rPr>
      </w:pPr>
      <w:r w:rsidRPr="00FF0C77">
        <w:rPr>
          <w:rFonts w:eastAsia="SimSun"/>
          <w:lang w:val="en-GB"/>
        </w:rPr>
        <w:t xml:space="preserve">This indicates that a small firm in an island region would need around €300,000 over and above the existing </w:t>
      </w:r>
      <w:r w:rsidR="00600CAA">
        <w:rPr>
          <w:rFonts w:eastAsia="SimSun"/>
          <w:lang w:val="en-GB"/>
        </w:rPr>
        <w:t>d</w:t>
      </w:r>
      <w:r w:rsidRPr="00FF0C77">
        <w:rPr>
          <w:rFonts w:eastAsia="SimSun"/>
          <w:lang w:val="en-GB"/>
        </w:rPr>
        <w:t xml:space="preserve">e </w:t>
      </w:r>
      <w:r w:rsidR="00600CAA">
        <w:rPr>
          <w:rFonts w:eastAsia="SimSun"/>
          <w:lang w:val="en-GB"/>
        </w:rPr>
        <w:t>m</w:t>
      </w:r>
      <w:r w:rsidRPr="00FF0C77">
        <w:rPr>
          <w:rFonts w:eastAsia="SimSun"/>
          <w:lang w:val="en-GB"/>
        </w:rPr>
        <w:t xml:space="preserve">inimis ceiling in order to remain competitive in line with others which are not located in territories with such geographical specificities. Hence, this position paper is proposing an increase in the </w:t>
      </w:r>
      <w:r w:rsidR="00600CAA">
        <w:rPr>
          <w:rFonts w:eastAsia="SimSun"/>
          <w:lang w:val="en-GB"/>
        </w:rPr>
        <w:t>d</w:t>
      </w:r>
      <w:r w:rsidRPr="00FF0C77">
        <w:rPr>
          <w:rFonts w:eastAsia="SimSun"/>
          <w:lang w:val="en-GB"/>
        </w:rPr>
        <w:t xml:space="preserve">e </w:t>
      </w:r>
      <w:r w:rsidR="00600CAA">
        <w:rPr>
          <w:rFonts w:eastAsia="SimSun"/>
          <w:lang w:val="en-GB"/>
        </w:rPr>
        <w:t>m</w:t>
      </w:r>
      <w:r w:rsidRPr="00FF0C77">
        <w:rPr>
          <w:rFonts w:eastAsia="SimSun"/>
          <w:lang w:val="en-GB"/>
        </w:rPr>
        <w:t xml:space="preserve">inimis ceiling from €200,000 to €500,000. </w:t>
      </w:r>
    </w:p>
    <w:sectPr w:rsidR="002C4818" w:rsidRPr="006F5716">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5C3D" w14:textId="77777777" w:rsidR="003B4544" w:rsidRDefault="003B4544" w:rsidP="008D7496">
      <w:pPr>
        <w:spacing w:after="0" w:line="240" w:lineRule="auto"/>
      </w:pPr>
      <w:r>
        <w:separator/>
      </w:r>
    </w:p>
  </w:endnote>
  <w:endnote w:type="continuationSeparator" w:id="0">
    <w:p w14:paraId="0C433AB4" w14:textId="77777777" w:rsidR="003B4544" w:rsidRDefault="003B4544" w:rsidP="008D7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176132"/>
      <w:docPartObj>
        <w:docPartGallery w:val="Page Numbers (Bottom of Page)"/>
        <w:docPartUnique/>
      </w:docPartObj>
    </w:sdtPr>
    <w:sdtEndPr>
      <w:rPr>
        <w:noProof/>
      </w:rPr>
    </w:sdtEndPr>
    <w:sdtContent>
      <w:p w14:paraId="38BACD31" w14:textId="5968D45E" w:rsidR="00E12A2F" w:rsidRDefault="00E12A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8C1671" w14:textId="77777777" w:rsidR="00E12A2F" w:rsidRDefault="00E12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ABAC7" w14:textId="77777777" w:rsidR="003B4544" w:rsidRDefault="003B4544" w:rsidP="008D7496">
      <w:pPr>
        <w:spacing w:after="0" w:line="240" w:lineRule="auto"/>
      </w:pPr>
      <w:r>
        <w:separator/>
      </w:r>
    </w:p>
  </w:footnote>
  <w:footnote w:type="continuationSeparator" w:id="0">
    <w:p w14:paraId="3111CE3B" w14:textId="77777777" w:rsidR="003B4544" w:rsidRDefault="003B4544" w:rsidP="008D7496">
      <w:pPr>
        <w:spacing w:after="0" w:line="240" w:lineRule="auto"/>
      </w:pPr>
      <w:r>
        <w:continuationSeparator/>
      </w:r>
    </w:p>
  </w:footnote>
  <w:footnote w:id="1">
    <w:p w14:paraId="067C14BC" w14:textId="6CF119EE" w:rsidR="00E12A2F" w:rsidRDefault="00E12A2F" w:rsidP="00860A2F">
      <w:pPr>
        <w:pStyle w:val="FootnoteText"/>
        <w:ind w:left="142" w:hanging="142"/>
      </w:pPr>
      <w:r>
        <w:rPr>
          <w:rStyle w:val="FootnoteReference"/>
        </w:rPr>
        <w:footnoteRef/>
      </w:r>
      <w:r>
        <w:t xml:space="preserve"> Gordon Cordina is Executive Director at E-Cubed Islands. Amanda Borg and Victoria Apap are economists at E-Cubed Islands specialising in island and regional economics.</w:t>
      </w:r>
    </w:p>
  </w:footnote>
  <w:footnote w:id="2">
    <w:p w14:paraId="60529127" w14:textId="7A8AD2E6" w:rsidR="00E12A2F" w:rsidRPr="006F5716" w:rsidRDefault="00E12A2F" w:rsidP="002F54A4">
      <w:pPr>
        <w:pStyle w:val="FootnoteText"/>
        <w:spacing w:after="0"/>
        <w:ind w:left="0" w:firstLine="0"/>
        <w:rPr>
          <w:rFonts w:asciiTheme="minorHAnsi" w:hAnsiTheme="minorHAnsi" w:cstheme="minorHAnsi"/>
          <w:szCs w:val="16"/>
        </w:rPr>
      </w:pPr>
      <w:r w:rsidRPr="006F5716">
        <w:rPr>
          <w:rStyle w:val="FootnoteReference"/>
          <w:rFonts w:asciiTheme="minorHAnsi" w:hAnsiTheme="minorHAnsi" w:cstheme="minorHAnsi"/>
          <w:sz w:val="16"/>
          <w:szCs w:val="16"/>
        </w:rPr>
        <w:footnoteRef/>
      </w:r>
      <w:r w:rsidRPr="006F5716">
        <w:rPr>
          <w:rFonts w:asciiTheme="minorHAnsi" w:hAnsiTheme="minorHAnsi" w:cstheme="minorHAnsi"/>
          <w:szCs w:val="16"/>
        </w:rPr>
        <w:t xml:space="preserve"> Eurostat (1994) defines an island as any territory meeting the following five criteria: 1) having an area of at least one square kilometre; 2) being located more than one kilometre from the mainland; 3) having a permanent resident population of at least 50 people; 4) having no fixed link with the continent; 5) not containing an EU capital. From a statistical perspective, island regions are classified as NUTS 3. The classification can correspond to a single island, be composed of several islands, or be part of a larger island containing several NUTS 3 regions. A number of islands in Europe are statistically classified as NUTS 2 – e.g. the Balearic Islands, Sicily and Corsica – and there are also two island Member States (Malta and Cyprus).</w:t>
      </w:r>
    </w:p>
  </w:footnote>
  <w:footnote w:id="3">
    <w:p w14:paraId="49DE515B" w14:textId="77777777" w:rsidR="002F54A4" w:rsidRPr="002F54A4" w:rsidRDefault="002F54A4" w:rsidP="002F54A4">
      <w:pPr>
        <w:spacing w:after="0" w:line="240" w:lineRule="auto"/>
        <w:jc w:val="both"/>
        <w:rPr>
          <w:sz w:val="16"/>
          <w:szCs w:val="16"/>
          <w:lang w:val="en-GB"/>
        </w:rPr>
      </w:pPr>
      <w:r w:rsidRPr="002F54A4">
        <w:rPr>
          <w:rStyle w:val="FootnoteReference"/>
          <w:sz w:val="16"/>
          <w:szCs w:val="16"/>
        </w:rPr>
        <w:footnoteRef/>
      </w:r>
      <w:r w:rsidRPr="002F54A4">
        <w:rPr>
          <w:sz w:val="16"/>
          <w:szCs w:val="16"/>
        </w:rPr>
        <w:t xml:space="preserve"> </w:t>
      </w:r>
      <w:r w:rsidRPr="002F54A4">
        <w:rPr>
          <w:sz w:val="16"/>
          <w:szCs w:val="16"/>
          <w:lang w:val="en-GB"/>
        </w:rPr>
        <w:t xml:space="preserve">The total population of islands in the EU amounted to just under </w:t>
      </w:r>
      <w:r w:rsidRPr="002F54A4">
        <w:rPr>
          <w:rFonts w:cstheme="minorHAnsi"/>
          <w:sz w:val="16"/>
          <w:szCs w:val="16"/>
          <w:lang w:val="en-GB"/>
        </w:rPr>
        <w:t>€</w:t>
      </w:r>
      <w:r w:rsidRPr="002F54A4">
        <w:rPr>
          <w:sz w:val="16"/>
          <w:szCs w:val="16"/>
          <w:lang w:val="en-GB"/>
        </w:rPr>
        <w:t xml:space="preserve">20 million in 2018, equivalent to 4% of the EU-28 population. The Gross Value Added as a percentage of the EU-28 amounted to 3% in 2016 whilst per capita GDP amounted to </w:t>
      </w:r>
      <w:r w:rsidRPr="002F54A4">
        <w:rPr>
          <w:rFonts w:cstheme="minorHAnsi"/>
          <w:sz w:val="16"/>
          <w:szCs w:val="16"/>
          <w:lang w:val="en-GB"/>
        </w:rPr>
        <w:t>€</w:t>
      </w:r>
      <w:r w:rsidRPr="002F54A4">
        <w:rPr>
          <w:sz w:val="16"/>
          <w:szCs w:val="16"/>
          <w:lang w:val="en-GB"/>
        </w:rPr>
        <w:t xml:space="preserve">17,740 in comparison to the EU average of </w:t>
      </w:r>
      <w:r w:rsidRPr="002F54A4">
        <w:rPr>
          <w:rFonts w:cstheme="minorHAnsi"/>
          <w:sz w:val="16"/>
          <w:szCs w:val="16"/>
          <w:lang w:val="en-GB"/>
        </w:rPr>
        <w:t>€</w:t>
      </w:r>
      <w:r w:rsidRPr="002F54A4">
        <w:rPr>
          <w:sz w:val="16"/>
          <w:szCs w:val="16"/>
          <w:lang w:val="en-GB"/>
        </w:rPr>
        <w:t xml:space="preserve">26,261 in 2016. </w:t>
      </w:r>
    </w:p>
    <w:p w14:paraId="262B14A9" w14:textId="51F71676" w:rsidR="002F54A4" w:rsidRDefault="002F54A4">
      <w:pPr>
        <w:pStyle w:val="FootnoteText"/>
      </w:pPr>
    </w:p>
  </w:footnote>
  <w:footnote w:id="4">
    <w:p w14:paraId="0FB9B743" w14:textId="1F567CBC" w:rsidR="00E12A2F" w:rsidRPr="006F5716" w:rsidRDefault="00E12A2F">
      <w:pPr>
        <w:pStyle w:val="FootnoteText"/>
        <w:rPr>
          <w:rFonts w:asciiTheme="minorHAnsi" w:hAnsiTheme="minorHAnsi" w:cstheme="minorHAnsi"/>
          <w:szCs w:val="16"/>
        </w:rPr>
      </w:pPr>
      <w:r w:rsidRPr="006F5716">
        <w:rPr>
          <w:rStyle w:val="FootnoteReference"/>
          <w:rFonts w:asciiTheme="minorHAnsi" w:hAnsiTheme="minorHAnsi" w:cstheme="minorHAnsi"/>
          <w:sz w:val="16"/>
          <w:szCs w:val="16"/>
        </w:rPr>
        <w:footnoteRef/>
      </w:r>
      <w:r w:rsidRPr="006F5716">
        <w:rPr>
          <w:rFonts w:asciiTheme="minorHAnsi" w:hAnsiTheme="minorHAnsi" w:cstheme="minorHAnsi"/>
          <w:szCs w:val="16"/>
        </w:rPr>
        <w:t xml:space="preserve"> The EESC supports the call of the European Parliament (EESC, 2017)</w:t>
      </w:r>
    </w:p>
  </w:footnote>
  <w:footnote w:id="5">
    <w:p w14:paraId="799A7289" w14:textId="12FCA58C" w:rsidR="00E12A2F" w:rsidRPr="006F5716" w:rsidRDefault="00E12A2F" w:rsidP="006F5716">
      <w:pPr>
        <w:pStyle w:val="FootnoteText"/>
        <w:spacing w:after="0"/>
        <w:rPr>
          <w:rFonts w:asciiTheme="minorHAnsi" w:hAnsiTheme="minorHAnsi" w:cstheme="minorHAnsi"/>
          <w:szCs w:val="16"/>
        </w:rPr>
      </w:pPr>
      <w:r w:rsidRPr="006F5716">
        <w:rPr>
          <w:rStyle w:val="FootnoteReference"/>
          <w:rFonts w:asciiTheme="minorHAnsi" w:hAnsiTheme="minorHAnsi" w:cstheme="minorHAnsi"/>
          <w:sz w:val="16"/>
          <w:szCs w:val="16"/>
        </w:rPr>
        <w:footnoteRef/>
      </w:r>
      <w:r w:rsidRPr="006F5716">
        <w:rPr>
          <w:rFonts w:asciiTheme="minorHAnsi" w:hAnsiTheme="minorHAnsi" w:cstheme="minorHAnsi"/>
          <w:szCs w:val="16"/>
        </w:rPr>
        <w:t xml:space="preserve"> TFEU art, 174, 175.</w:t>
      </w:r>
    </w:p>
  </w:footnote>
  <w:footnote w:id="6">
    <w:p w14:paraId="2C0D14DE" w14:textId="19041E3F" w:rsidR="00E12A2F" w:rsidRPr="006F5716" w:rsidRDefault="00E12A2F" w:rsidP="006F5716">
      <w:pPr>
        <w:pStyle w:val="FootnoteText"/>
        <w:spacing w:after="0"/>
        <w:rPr>
          <w:rFonts w:asciiTheme="minorHAnsi" w:hAnsiTheme="minorHAnsi" w:cstheme="minorHAnsi"/>
          <w:szCs w:val="16"/>
        </w:rPr>
      </w:pPr>
      <w:r w:rsidRPr="006F5716">
        <w:rPr>
          <w:rStyle w:val="FootnoteReference"/>
          <w:rFonts w:asciiTheme="minorHAnsi" w:hAnsiTheme="minorHAnsi" w:cstheme="minorHAnsi"/>
          <w:sz w:val="16"/>
          <w:szCs w:val="16"/>
        </w:rPr>
        <w:footnoteRef/>
      </w:r>
      <w:r w:rsidRPr="006F5716">
        <w:rPr>
          <w:rFonts w:asciiTheme="minorHAnsi" w:hAnsiTheme="minorHAnsi" w:cstheme="minorHAnsi"/>
          <w:szCs w:val="16"/>
        </w:rPr>
        <w:t xml:space="preserve"> EU Council Regulation (EEC) No 3577/92 restricts freedom to provide maritime transport services in specific instances</w:t>
      </w:r>
    </w:p>
  </w:footnote>
  <w:footnote w:id="7">
    <w:p w14:paraId="69F8A281" w14:textId="0D78C6E7" w:rsidR="00E12A2F" w:rsidRPr="006F5716" w:rsidRDefault="00E12A2F" w:rsidP="006F5716">
      <w:pPr>
        <w:pStyle w:val="FootnoteText"/>
        <w:spacing w:after="0"/>
        <w:ind w:left="142" w:hanging="142"/>
        <w:rPr>
          <w:rFonts w:asciiTheme="minorHAnsi" w:hAnsiTheme="minorHAnsi" w:cstheme="minorHAnsi"/>
          <w:szCs w:val="16"/>
        </w:rPr>
      </w:pPr>
      <w:r w:rsidRPr="006F5716">
        <w:rPr>
          <w:rStyle w:val="FootnoteReference"/>
          <w:rFonts w:asciiTheme="minorHAnsi" w:hAnsiTheme="minorHAnsi" w:cstheme="minorHAnsi"/>
          <w:sz w:val="16"/>
          <w:szCs w:val="16"/>
        </w:rPr>
        <w:footnoteRef/>
      </w:r>
      <w:r w:rsidRPr="006F5716">
        <w:rPr>
          <w:rFonts w:asciiTheme="minorHAnsi" w:hAnsiTheme="minorHAnsi" w:cstheme="minorHAnsi"/>
          <w:szCs w:val="16"/>
        </w:rPr>
        <w:t xml:space="preserve"> The ESIF Common Provisions Regulation allows for the modulation of co-financing rates which can be applied for areas with severe and permanent natural or demographic handicaps including islands</w:t>
      </w:r>
    </w:p>
  </w:footnote>
  <w:footnote w:id="8">
    <w:p w14:paraId="03D9B450" w14:textId="5DD56720" w:rsidR="00E12A2F" w:rsidRPr="006F5716" w:rsidRDefault="00E12A2F" w:rsidP="006F5716">
      <w:pPr>
        <w:pStyle w:val="FootnoteText"/>
        <w:spacing w:after="0"/>
        <w:ind w:left="142" w:hanging="142"/>
        <w:rPr>
          <w:rFonts w:asciiTheme="minorHAnsi" w:hAnsiTheme="minorHAnsi" w:cstheme="minorHAnsi"/>
          <w:szCs w:val="16"/>
        </w:rPr>
      </w:pPr>
      <w:r w:rsidRPr="006F5716">
        <w:rPr>
          <w:rStyle w:val="FootnoteReference"/>
          <w:rFonts w:asciiTheme="minorHAnsi" w:hAnsiTheme="minorHAnsi" w:cstheme="minorHAnsi"/>
          <w:sz w:val="16"/>
          <w:szCs w:val="16"/>
        </w:rPr>
        <w:footnoteRef/>
      </w:r>
      <w:r w:rsidRPr="006F5716">
        <w:rPr>
          <w:rFonts w:asciiTheme="minorHAnsi" w:hAnsiTheme="minorHAnsi" w:cstheme="minorHAnsi"/>
          <w:szCs w:val="16"/>
        </w:rPr>
        <w:t xml:space="preserve"> The Clean Energy for Islands Initiative calls for investment in renewable energy sources for islands to overcome constraints related to limited space, intermittency and governance.</w:t>
      </w:r>
    </w:p>
  </w:footnote>
  <w:footnote w:id="9">
    <w:p w14:paraId="0E646F8C" w14:textId="6CD8707D" w:rsidR="00E12A2F" w:rsidRPr="00584BB5" w:rsidRDefault="00E12A2F" w:rsidP="006F5716">
      <w:pPr>
        <w:spacing w:after="0" w:line="240" w:lineRule="auto"/>
        <w:jc w:val="both"/>
      </w:pPr>
      <w:r w:rsidRPr="00584BB5">
        <w:rPr>
          <w:rStyle w:val="FootnoteReference"/>
          <w:rFonts w:cstheme="minorHAnsi"/>
          <w:sz w:val="16"/>
          <w:szCs w:val="16"/>
        </w:rPr>
        <w:footnoteRef/>
      </w:r>
      <w:r w:rsidRPr="006F5716">
        <w:rPr>
          <w:rFonts w:cstheme="minorHAnsi"/>
          <w:sz w:val="16"/>
          <w:szCs w:val="16"/>
        </w:rPr>
        <w:t xml:space="preserve"> State aid is defined as an advantage in any form whatsoever conferred on a selective basis to undertakings by national public authorities. </w:t>
      </w:r>
    </w:p>
  </w:footnote>
  <w:footnote w:id="10">
    <w:p w14:paraId="30CABBB2" w14:textId="4A5594C7" w:rsidR="00E12A2F" w:rsidRDefault="00E12A2F" w:rsidP="006F5716">
      <w:pPr>
        <w:pStyle w:val="FootnoteText"/>
        <w:spacing w:after="0"/>
      </w:pPr>
      <w:r w:rsidRPr="006F5716">
        <w:rPr>
          <w:rStyle w:val="FootnoteReference"/>
          <w:rFonts w:asciiTheme="minorHAnsi" w:hAnsiTheme="minorHAnsi" w:cstheme="minorHAnsi"/>
          <w:sz w:val="16"/>
          <w:szCs w:val="16"/>
        </w:rPr>
        <w:footnoteRef/>
      </w:r>
      <w:r w:rsidRPr="006F5716">
        <w:rPr>
          <w:rFonts w:asciiTheme="minorHAnsi" w:hAnsiTheme="minorHAnsi" w:cstheme="minorHAnsi"/>
          <w:szCs w:val="16"/>
        </w:rPr>
        <w:t xml:space="preserve"> TFEU art 107(3)</w:t>
      </w:r>
    </w:p>
  </w:footnote>
  <w:footnote w:id="11">
    <w:p w14:paraId="62391C89" w14:textId="061B998C" w:rsidR="00E12A2F" w:rsidRPr="006F5716" w:rsidRDefault="00E12A2F">
      <w:pPr>
        <w:pStyle w:val="FootnoteText"/>
        <w:rPr>
          <w:rFonts w:asciiTheme="minorHAnsi" w:hAnsiTheme="minorHAnsi" w:cstheme="minorHAnsi"/>
          <w:szCs w:val="16"/>
        </w:rPr>
      </w:pPr>
      <w:r w:rsidRPr="006F5716">
        <w:rPr>
          <w:rStyle w:val="FootnoteReference"/>
          <w:rFonts w:asciiTheme="minorHAnsi" w:hAnsiTheme="minorHAnsi" w:cstheme="minorHAnsi"/>
          <w:sz w:val="16"/>
          <w:szCs w:val="16"/>
        </w:rPr>
        <w:footnoteRef/>
      </w:r>
      <w:r w:rsidRPr="006F5716">
        <w:rPr>
          <w:rFonts w:asciiTheme="minorHAnsi" w:hAnsiTheme="minorHAnsi" w:cstheme="minorHAnsi"/>
          <w:szCs w:val="16"/>
        </w:rPr>
        <w:t xml:space="preserve"> </w:t>
      </w:r>
      <w:hyperlink r:id="rId1" w:tgtFrame="_blank" w:history="1">
        <w:r w:rsidRPr="006F5716">
          <w:rPr>
            <w:rStyle w:val="Hyperlink"/>
            <w:rFonts w:asciiTheme="minorHAnsi" w:hAnsiTheme="minorHAnsi" w:cstheme="minorHAnsi"/>
            <w:color w:val="1155CC"/>
            <w:szCs w:val="16"/>
            <w:shd w:val="clear" w:color="auto" w:fill="FFFFFF"/>
          </w:rPr>
          <w:t>http://www.europarl.europa.eu/factsheets/en/sheet/135/trans-european-networks-guidelines</w:t>
        </w:r>
      </w:hyperlink>
    </w:p>
  </w:footnote>
  <w:footnote w:id="12">
    <w:p w14:paraId="45596E64" w14:textId="110C6FE3" w:rsidR="00E12A2F" w:rsidRPr="006F5716" w:rsidRDefault="00E12A2F">
      <w:pPr>
        <w:pStyle w:val="FootnoteText"/>
        <w:rPr>
          <w:rFonts w:asciiTheme="minorHAnsi" w:hAnsiTheme="minorHAnsi" w:cstheme="minorHAnsi"/>
          <w:szCs w:val="16"/>
        </w:rPr>
      </w:pPr>
      <w:r w:rsidRPr="006F5716">
        <w:rPr>
          <w:rStyle w:val="FootnoteReference"/>
          <w:rFonts w:asciiTheme="minorHAnsi" w:hAnsiTheme="minorHAnsi" w:cstheme="minorHAnsi"/>
          <w:sz w:val="16"/>
          <w:szCs w:val="16"/>
        </w:rPr>
        <w:footnoteRef/>
      </w:r>
      <w:r w:rsidRPr="006F5716">
        <w:rPr>
          <w:rFonts w:asciiTheme="minorHAnsi" w:hAnsiTheme="minorHAnsi" w:cstheme="minorHAnsi"/>
          <w:szCs w:val="16"/>
        </w:rPr>
        <w:t xml:space="preserve"> </w:t>
      </w:r>
      <w:hyperlink r:id="rId2" w:tgtFrame="_blank" w:history="1">
        <w:r w:rsidRPr="006F5716">
          <w:rPr>
            <w:rStyle w:val="Hyperlink"/>
            <w:rFonts w:asciiTheme="minorHAnsi" w:hAnsiTheme="minorHAnsi" w:cstheme="minorHAnsi"/>
            <w:color w:val="1155CC"/>
            <w:szCs w:val="16"/>
            <w:shd w:val="clear" w:color="auto" w:fill="FFFFFF"/>
          </w:rPr>
          <w:t>https://gaarden.nu/media/1200/madstrategi_uk.pdf</w:t>
        </w:r>
      </w:hyperlink>
    </w:p>
  </w:footnote>
  <w:footnote w:id="13">
    <w:p w14:paraId="0C591718" w14:textId="76A193A0" w:rsidR="00E12A2F" w:rsidRDefault="00E12A2F">
      <w:pPr>
        <w:pStyle w:val="FootnoteText"/>
      </w:pPr>
      <w:r w:rsidRPr="006F5716">
        <w:rPr>
          <w:rStyle w:val="FootnoteReference"/>
          <w:rFonts w:asciiTheme="minorHAnsi" w:hAnsiTheme="minorHAnsi" w:cstheme="minorHAnsi"/>
          <w:sz w:val="16"/>
          <w:szCs w:val="16"/>
        </w:rPr>
        <w:footnoteRef/>
      </w:r>
      <w:r w:rsidRPr="006F5716">
        <w:rPr>
          <w:rFonts w:asciiTheme="minorHAnsi" w:hAnsiTheme="minorHAnsi" w:cstheme="minorHAnsi"/>
          <w:szCs w:val="16"/>
        </w:rPr>
        <w:t xml:space="preserve"> </w:t>
      </w:r>
      <w:hyperlink r:id="rId3" w:tgtFrame="_blank" w:history="1">
        <w:r w:rsidRPr="006F5716">
          <w:rPr>
            <w:rStyle w:val="Hyperlink"/>
            <w:rFonts w:asciiTheme="minorHAnsi" w:hAnsiTheme="minorHAnsi" w:cstheme="minorHAnsi"/>
            <w:color w:val="1155CC"/>
            <w:szCs w:val="16"/>
            <w:shd w:val="clear" w:color="auto" w:fill="FFFFFF"/>
          </w:rPr>
          <w:t>http://www.greece-is.com/food-northern-aegean-lavish-meze-ouzo-sweet-wine/</w:t>
        </w:r>
      </w:hyperlink>
    </w:p>
  </w:footnote>
  <w:footnote w:id="14">
    <w:p w14:paraId="0C753B9B" w14:textId="2C8E55E5" w:rsidR="00E12A2F" w:rsidRPr="006F5716" w:rsidRDefault="00E12A2F">
      <w:pPr>
        <w:pStyle w:val="FootnoteText"/>
        <w:rPr>
          <w:rFonts w:asciiTheme="minorHAnsi" w:hAnsiTheme="minorHAnsi" w:cstheme="minorHAnsi"/>
          <w:szCs w:val="16"/>
        </w:rPr>
      </w:pPr>
      <w:r w:rsidRPr="006F5716">
        <w:rPr>
          <w:rStyle w:val="FootnoteReference"/>
          <w:rFonts w:asciiTheme="minorHAnsi" w:hAnsiTheme="minorHAnsi" w:cstheme="minorHAnsi"/>
          <w:sz w:val="16"/>
          <w:szCs w:val="16"/>
        </w:rPr>
        <w:footnoteRef/>
      </w:r>
      <w:r w:rsidRPr="006F5716">
        <w:rPr>
          <w:rFonts w:asciiTheme="minorHAnsi" w:hAnsiTheme="minorHAnsi" w:cstheme="minorHAnsi"/>
          <w:szCs w:val="16"/>
        </w:rPr>
        <w:t xml:space="preserve"> </w:t>
      </w:r>
      <w:hyperlink r:id="rId4" w:tgtFrame="_blank" w:history="1">
        <w:r w:rsidRPr="006F5716">
          <w:rPr>
            <w:rStyle w:val="Hyperlink"/>
            <w:rFonts w:asciiTheme="minorHAnsi" w:hAnsiTheme="minorHAnsi" w:cstheme="minorHAnsi"/>
            <w:color w:val="1155CC"/>
            <w:szCs w:val="16"/>
            <w:shd w:val="clear" w:color="auto" w:fill="FFFFFF"/>
          </w:rPr>
          <w:t>http://www.3amalta.com/en/articles/item/527-bov-jaime-financing-package.html</w:t>
        </w:r>
      </w:hyperlink>
    </w:p>
  </w:footnote>
  <w:footnote w:id="15">
    <w:p w14:paraId="3007602A" w14:textId="27D6337D" w:rsidR="00E12A2F" w:rsidRDefault="00E12A2F">
      <w:pPr>
        <w:pStyle w:val="FootnoteText"/>
      </w:pPr>
      <w:r w:rsidRPr="006F5716">
        <w:rPr>
          <w:rStyle w:val="FootnoteReference"/>
          <w:rFonts w:asciiTheme="minorHAnsi" w:hAnsiTheme="minorHAnsi" w:cstheme="minorHAnsi"/>
          <w:sz w:val="16"/>
          <w:szCs w:val="16"/>
        </w:rPr>
        <w:footnoteRef/>
      </w:r>
      <w:r w:rsidRPr="006F5716">
        <w:rPr>
          <w:rFonts w:asciiTheme="minorHAnsi" w:hAnsiTheme="minorHAnsi" w:cstheme="minorHAnsi"/>
          <w:szCs w:val="16"/>
        </w:rPr>
        <w:t xml:space="preserve"> </w:t>
      </w:r>
      <w:hyperlink r:id="rId5" w:tgtFrame="_blank" w:history="1">
        <w:r w:rsidRPr="006F5716">
          <w:rPr>
            <w:rStyle w:val="Hyperlink"/>
            <w:rFonts w:asciiTheme="minorHAnsi" w:hAnsiTheme="minorHAnsi" w:cstheme="minorHAnsi"/>
            <w:color w:val="1155CC"/>
            <w:szCs w:val="16"/>
            <w:shd w:val="clear" w:color="auto" w:fill="FFFFFF"/>
          </w:rPr>
          <w:t>https://timesofmalta.com/articles/view/APS-Bank-to-operate-12m-innovation-facility-for-Maltese-SMEs.628569</w:t>
        </w:r>
      </w:hyperlink>
    </w:p>
  </w:footnote>
  <w:footnote w:id="16">
    <w:p w14:paraId="41A5113C" w14:textId="51DC01C3" w:rsidR="00E12A2F" w:rsidRPr="00D1714A" w:rsidRDefault="00E12A2F" w:rsidP="00D1714A">
      <w:pPr>
        <w:pStyle w:val="NormalWeb"/>
        <w:spacing w:before="0" w:beforeAutospacing="0" w:after="0" w:afterAutospacing="0" w:line="259" w:lineRule="auto"/>
        <w:jc w:val="both"/>
        <w:rPr>
          <w:rFonts w:asciiTheme="minorHAnsi" w:eastAsiaTheme="minorHAnsi" w:hAnsiTheme="minorHAnsi" w:cstheme="minorHAnsi"/>
          <w:sz w:val="22"/>
          <w:szCs w:val="22"/>
          <w:lang w:val="en-GB"/>
        </w:rPr>
      </w:pPr>
      <w:r w:rsidRPr="00E15175">
        <w:rPr>
          <w:rFonts w:asciiTheme="minorHAnsi" w:eastAsiaTheme="minorHAnsi" w:hAnsiTheme="minorHAnsi" w:cstheme="minorBidi"/>
          <w:sz w:val="16"/>
          <w:szCs w:val="16"/>
          <w:vertAlign w:val="superscript"/>
          <w:lang w:val="en-GB"/>
        </w:rPr>
        <w:footnoteRef/>
      </w:r>
      <w:r w:rsidRPr="00E15175">
        <w:rPr>
          <w:rFonts w:asciiTheme="minorHAnsi" w:eastAsiaTheme="minorHAnsi" w:hAnsiTheme="minorHAnsi" w:cstheme="minorBidi"/>
          <w:sz w:val="16"/>
          <w:szCs w:val="16"/>
          <w:lang w:val="en-GB"/>
        </w:rPr>
        <w:t xml:space="preserve"> </w:t>
      </w:r>
      <w:r w:rsidRPr="00D1714A">
        <w:rPr>
          <w:rFonts w:asciiTheme="minorHAnsi" w:eastAsiaTheme="minorHAnsi" w:hAnsiTheme="minorHAnsi" w:cstheme="minorBidi"/>
          <w:sz w:val="16"/>
          <w:szCs w:val="16"/>
          <w:lang w:val="en-GB"/>
        </w:rPr>
        <w:t>The Regulation also specifies that aid provided under a guarantee schemes to undertakings which are not in difficulty constitutes de minimis aid when the underlying loan does not exceed €1,500,000 per undertaking (in the road transport sector, this amount is limited to €750,000) (European Commission, 2008).</w:t>
      </w:r>
    </w:p>
  </w:footnote>
  <w:footnote w:id="17">
    <w:p w14:paraId="6ACD886B" w14:textId="77777777" w:rsidR="00E12A2F" w:rsidRPr="006F5716" w:rsidRDefault="00E12A2F" w:rsidP="00D62D7B">
      <w:pPr>
        <w:autoSpaceDE w:val="0"/>
        <w:autoSpaceDN w:val="0"/>
        <w:adjustRightInd w:val="0"/>
        <w:spacing w:after="0" w:line="240" w:lineRule="auto"/>
        <w:jc w:val="both"/>
        <w:rPr>
          <w:sz w:val="16"/>
          <w:szCs w:val="16"/>
          <w:lang w:val="en-GB"/>
        </w:rPr>
      </w:pPr>
      <w:r w:rsidRPr="006F5716">
        <w:rPr>
          <w:rStyle w:val="FootnoteReference"/>
          <w:sz w:val="16"/>
          <w:szCs w:val="16"/>
        </w:rPr>
        <w:footnoteRef/>
      </w:r>
      <w:r w:rsidRPr="006F5716">
        <w:rPr>
          <w:sz w:val="16"/>
          <w:szCs w:val="16"/>
        </w:rPr>
        <w:t xml:space="preserve"> </w:t>
      </w:r>
      <w:r w:rsidRPr="006F5716">
        <w:rPr>
          <w:sz w:val="16"/>
          <w:szCs w:val="16"/>
          <w:lang w:val="en-GB"/>
        </w:rPr>
        <w:t xml:space="preserve">Type "a" assisted zones are covered by Article 107.3.a, and these are regions where the standard of living is abnormally low or where there is serious underemployment, as well as the regions referred to in Article 349, namely the ORs. They are defined in these regulations as the NUTS2 whose GDP per capita in PPS is less than 75% of the average of the EU 27 based on the last three available years (2008-2010) and ORs. </w:t>
      </w:r>
      <w:r w:rsidRPr="006F5716">
        <w:rPr>
          <w:sz w:val="16"/>
          <w:szCs w:val="16"/>
          <w:lang w:val="en-GB"/>
        </w:rPr>
        <w:t xml:space="preserve"> Type "c" assisted zones are covered by Article 107.3.c, and are defined as disadvantaged areas compared to the national average within their Member State and for which aid enables development "without being limited by the economic conditions set out in 107.3.c". These type "c" zones are made up of: </w:t>
      </w:r>
    </w:p>
    <w:p w14:paraId="05BB1BCE" w14:textId="0711BED3" w:rsidR="00E12A2F" w:rsidRPr="006F5716" w:rsidRDefault="00E12A2F" w:rsidP="006F5716">
      <w:pPr>
        <w:autoSpaceDE w:val="0"/>
        <w:autoSpaceDN w:val="0"/>
        <w:adjustRightInd w:val="0"/>
        <w:spacing w:after="0" w:line="240" w:lineRule="auto"/>
        <w:jc w:val="both"/>
      </w:pPr>
      <w:r w:rsidRPr="006F5716">
        <w:rPr>
          <w:sz w:val="16"/>
          <w:szCs w:val="16"/>
          <w:lang w:val="en-GB"/>
        </w:rPr>
        <w:t xml:space="preserve"> - predefined "c" zones made up of former "a" zones during the 2011-2013 period and low population density zones (NUTS2 &lt;8 inhabitants per km² or NUTS3 &lt;12.5 inhabitants per km²). - non-predefined "c" zones which may be made up of territories defined by 5 territorial criteria, including islands of less than 5,000 inhabitants with a GDP per capita below or equal to the EU27 average or an unemployment rate higher than or equal to 115% of the national average.</w:t>
      </w:r>
      <w:r w:rsidRPr="006F5716">
        <w:rPr>
          <w:sz w:val="18"/>
          <w:szCs w:val="18"/>
          <w:lang w:val="en-GB"/>
        </w:rPr>
        <w:t xml:space="preserve"> </w:t>
      </w:r>
    </w:p>
  </w:footnote>
  <w:footnote w:id="18">
    <w:p w14:paraId="232AF029" w14:textId="77777777" w:rsidR="00E12A2F" w:rsidRPr="00E15175" w:rsidRDefault="00E12A2F" w:rsidP="00E15175">
      <w:pPr>
        <w:pStyle w:val="FootnoteText"/>
        <w:rPr>
          <w:rFonts w:asciiTheme="minorHAnsi" w:hAnsiTheme="minorHAnsi" w:cstheme="minorHAnsi"/>
          <w:szCs w:val="16"/>
          <w:vertAlign w:val="superscript"/>
        </w:rPr>
      </w:pPr>
      <w:r w:rsidRPr="006F5716">
        <w:rPr>
          <w:rStyle w:val="FootnoteReference"/>
          <w:rFonts w:asciiTheme="minorHAnsi" w:hAnsiTheme="minorHAnsi" w:cstheme="minorHAnsi"/>
          <w:sz w:val="16"/>
          <w:szCs w:val="16"/>
        </w:rPr>
        <w:footnoteRef/>
      </w:r>
      <w:r w:rsidRPr="006F5716">
        <w:rPr>
          <w:rFonts w:asciiTheme="minorHAnsi" w:hAnsiTheme="minorHAnsi" w:cstheme="minorHAnsi"/>
          <w:szCs w:val="16"/>
        </w:rPr>
        <w:t xml:space="preserve"> </w:t>
      </w:r>
      <w:r w:rsidRPr="006F5716">
        <w:rPr>
          <w:rFonts w:asciiTheme="minorHAnsi" w:eastAsiaTheme="minorHAnsi" w:hAnsiTheme="minorHAnsi" w:cstheme="minorHAnsi"/>
          <w:szCs w:val="16"/>
        </w:rPr>
        <w:t>These proposals were presented to Commissioner Almunia in 2012</w:t>
      </w:r>
    </w:p>
  </w:footnote>
  <w:footnote w:id="19">
    <w:p w14:paraId="58A437BA" w14:textId="46F7F65A" w:rsidR="00E12A2F" w:rsidRDefault="00E12A2F" w:rsidP="00E15175">
      <w:pPr>
        <w:autoSpaceDE w:val="0"/>
        <w:autoSpaceDN w:val="0"/>
        <w:adjustRightInd w:val="0"/>
        <w:spacing w:after="0" w:line="240" w:lineRule="auto"/>
        <w:jc w:val="both"/>
      </w:pPr>
      <w:r w:rsidRPr="00E15175">
        <w:rPr>
          <w:sz w:val="16"/>
          <w:szCs w:val="16"/>
          <w:vertAlign w:val="superscript"/>
          <w:lang w:val="en-GB"/>
        </w:rPr>
        <w:footnoteRef/>
      </w:r>
      <w:r w:rsidRPr="00E15175">
        <w:rPr>
          <w:sz w:val="16"/>
          <w:szCs w:val="16"/>
          <w:lang w:val="en-GB"/>
        </w:rPr>
        <w:t xml:space="preserve"> Other proposals made by CPMR in relation to State Aid include the eligibility of islands, or at least those with smaller population to the provisions of Article 107.3c of the TFEU, the consideration of operating aid in addition to Public Service Obligation provision for air and sea transport,</w:t>
      </w:r>
      <w:r>
        <w:rPr>
          <w:sz w:val="16"/>
          <w:szCs w:val="16"/>
          <w:lang w:val="en-GB"/>
        </w:rPr>
        <w:t xml:space="preserve"> and increased collaboration between the European Commission and island authorities.</w:t>
      </w:r>
      <w:r>
        <w:t xml:space="preserve"> </w:t>
      </w:r>
    </w:p>
  </w:footnote>
  <w:footnote w:id="20">
    <w:p w14:paraId="20295455" w14:textId="36070C03" w:rsidR="00E12A2F" w:rsidRPr="006F5716" w:rsidRDefault="00E12A2F" w:rsidP="00D658E4">
      <w:pPr>
        <w:pStyle w:val="FootnoteText"/>
        <w:spacing w:after="0"/>
        <w:ind w:left="426" w:hanging="426"/>
        <w:rPr>
          <w:rFonts w:asciiTheme="minorHAnsi" w:hAnsiTheme="minorHAnsi" w:cstheme="minorHAnsi"/>
          <w:szCs w:val="16"/>
        </w:rPr>
      </w:pPr>
      <w:r w:rsidRPr="006F5716">
        <w:rPr>
          <w:rStyle w:val="FootnoteReference"/>
          <w:rFonts w:asciiTheme="minorHAnsi" w:hAnsiTheme="minorHAnsi" w:cstheme="minorHAnsi"/>
          <w:sz w:val="16"/>
          <w:szCs w:val="16"/>
        </w:rPr>
        <w:footnoteRef/>
      </w:r>
      <w:r w:rsidRPr="006F5716">
        <w:rPr>
          <w:rFonts w:asciiTheme="minorHAnsi" w:hAnsiTheme="minorHAnsi" w:cstheme="minorHAnsi"/>
          <w:szCs w:val="16"/>
        </w:rPr>
        <w:t xml:space="preserve"> </w:t>
      </w:r>
      <w:r w:rsidRPr="006F5716">
        <w:rPr>
          <w:rFonts w:asciiTheme="minorHAnsi" w:eastAsiaTheme="minorHAnsi" w:hAnsiTheme="minorHAnsi" w:cstheme="minorHAnsi"/>
          <w:szCs w:val="16"/>
        </w:rPr>
        <w:t>A detailed explanation of the methodology is presented in the Annex</w:t>
      </w:r>
      <w:r>
        <w:rPr>
          <w:rFonts w:asciiTheme="minorHAnsi" w:eastAsiaTheme="minorHAnsi" w:hAnsiTheme="minorHAnsi" w:cstheme="minorHAnsi"/>
          <w:szCs w:val="16"/>
        </w:rPr>
        <w:t xml:space="preserve"> to this paper.</w:t>
      </w:r>
    </w:p>
  </w:footnote>
  <w:footnote w:id="21">
    <w:p w14:paraId="0AF8E15E" w14:textId="77777777" w:rsidR="00E12A2F" w:rsidRPr="006F5716" w:rsidRDefault="00E12A2F" w:rsidP="00D658E4">
      <w:pPr>
        <w:pStyle w:val="FootnoteText"/>
        <w:spacing w:after="0"/>
        <w:ind w:left="142" w:hanging="142"/>
        <w:rPr>
          <w:rFonts w:asciiTheme="minorHAnsi" w:eastAsiaTheme="minorHAnsi" w:hAnsiTheme="minorHAnsi" w:cstheme="minorHAnsi"/>
          <w:szCs w:val="16"/>
        </w:rPr>
      </w:pPr>
      <w:r w:rsidRPr="006F5716">
        <w:rPr>
          <w:rStyle w:val="FootnoteReference"/>
          <w:rFonts w:asciiTheme="minorHAnsi" w:hAnsiTheme="minorHAnsi" w:cstheme="minorHAnsi"/>
          <w:sz w:val="16"/>
          <w:szCs w:val="16"/>
        </w:rPr>
        <w:footnoteRef/>
      </w:r>
      <w:r w:rsidRPr="006F5716">
        <w:rPr>
          <w:rFonts w:asciiTheme="minorHAnsi" w:hAnsiTheme="minorHAnsi" w:cstheme="minorHAnsi"/>
          <w:szCs w:val="16"/>
        </w:rPr>
        <w:t xml:space="preserve"> </w:t>
      </w:r>
      <w:r w:rsidRPr="006F5716">
        <w:rPr>
          <w:rFonts w:asciiTheme="minorHAnsi" w:eastAsiaTheme="minorHAnsi" w:hAnsiTheme="minorHAnsi" w:cstheme="minorHAnsi"/>
          <w:szCs w:val="16"/>
        </w:rPr>
        <w:t>The cost of doing business is calculated by the Costs to Turnover ratio, by deducting the Gross Value Added from Turnover divided by Turnover</w:t>
      </w:r>
    </w:p>
  </w:footnote>
  <w:footnote w:id="22">
    <w:p w14:paraId="3CC6582F" w14:textId="77777777" w:rsidR="00E12A2F" w:rsidRPr="006F5716" w:rsidRDefault="00E12A2F" w:rsidP="00FF0C77">
      <w:pPr>
        <w:pStyle w:val="FootnoteText"/>
        <w:spacing w:after="0"/>
        <w:rPr>
          <w:rFonts w:asciiTheme="minorHAnsi" w:hAnsiTheme="minorHAnsi" w:cstheme="minorHAnsi"/>
          <w:szCs w:val="16"/>
        </w:rPr>
      </w:pPr>
      <w:r w:rsidRPr="006F5716">
        <w:rPr>
          <w:rStyle w:val="FootnoteReference"/>
          <w:rFonts w:asciiTheme="minorHAnsi" w:hAnsiTheme="minorHAnsi" w:cstheme="minorHAnsi"/>
          <w:sz w:val="16"/>
          <w:szCs w:val="16"/>
        </w:rPr>
        <w:footnoteRef/>
      </w:r>
      <w:r w:rsidRPr="006F5716">
        <w:rPr>
          <w:rFonts w:asciiTheme="minorHAnsi" w:hAnsiTheme="minorHAnsi" w:cstheme="minorHAnsi"/>
          <w:szCs w:val="16"/>
        </w:rPr>
        <w:t xml:space="preserve"> Cyprus and Malta Region were not included as island regions given that these have a capital city.  </w:t>
      </w:r>
    </w:p>
  </w:footnote>
  <w:footnote w:id="23">
    <w:p w14:paraId="2031D92B" w14:textId="77777777" w:rsidR="00E12A2F" w:rsidRPr="006F5716" w:rsidRDefault="00E12A2F" w:rsidP="00FF0C77">
      <w:pPr>
        <w:pStyle w:val="FootnoteText"/>
        <w:spacing w:after="0"/>
        <w:ind w:left="0" w:firstLine="0"/>
        <w:rPr>
          <w:rFonts w:asciiTheme="minorHAnsi" w:hAnsiTheme="minorHAnsi" w:cstheme="minorHAnsi"/>
          <w:szCs w:val="16"/>
        </w:rPr>
      </w:pPr>
      <w:r w:rsidRPr="006F5716">
        <w:rPr>
          <w:rStyle w:val="FootnoteReference"/>
          <w:rFonts w:asciiTheme="minorHAnsi" w:hAnsiTheme="minorHAnsi" w:cstheme="minorHAnsi"/>
          <w:sz w:val="16"/>
          <w:szCs w:val="16"/>
        </w:rPr>
        <w:footnoteRef/>
      </w:r>
      <w:r w:rsidRPr="006F5716">
        <w:rPr>
          <w:rFonts w:asciiTheme="minorHAnsi" w:hAnsiTheme="minorHAnsi" w:cstheme="minorHAnsi"/>
          <w:szCs w:val="16"/>
        </w:rPr>
        <w:t xml:space="preserve"> Considering only Gozo as Malta`s island region. </w:t>
      </w:r>
    </w:p>
  </w:footnote>
  <w:footnote w:id="24">
    <w:p w14:paraId="33651526" w14:textId="77777777" w:rsidR="00E12A2F" w:rsidRDefault="00E12A2F" w:rsidP="00FF0C77">
      <w:pPr>
        <w:pStyle w:val="FootnoteText"/>
        <w:spacing w:after="0"/>
      </w:pPr>
      <w:r w:rsidRPr="006F5716">
        <w:rPr>
          <w:rStyle w:val="FootnoteReference"/>
          <w:rFonts w:asciiTheme="minorHAnsi" w:hAnsiTheme="minorHAnsi" w:cstheme="minorHAnsi"/>
          <w:sz w:val="16"/>
          <w:szCs w:val="16"/>
        </w:rPr>
        <w:footnoteRef/>
      </w:r>
      <w:r w:rsidRPr="006F5716">
        <w:rPr>
          <w:rFonts w:asciiTheme="minorHAnsi" w:hAnsiTheme="minorHAnsi" w:cstheme="minorHAnsi"/>
          <w:szCs w:val="16"/>
        </w:rPr>
        <w:t xml:space="preserve"> Comparison group refers to Greece, France, Portugal, Malta, Spain and Croatia.</w:t>
      </w:r>
    </w:p>
  </w:footnote>
  <w:footnote w:id="25">
    <w:p w14:paraId="53B3B208" w14:textId="77777777" w:rsidR="00E12A2F" w:rsidRPr="006F5716" w:rsidRDefault="00E12A2F" w:rsidP="00FF0C77">
      <w:pPr>
        <w:pStyle w:val="FootnoteText"/>
        <w:rPr>
          <w:rFonts w:asciiTheme="minorHAnsi" w:hAnsiTheme="minorHAnsi" w:cstheme="minorHAnsi"/>
          <w:szCs w:val="16"/>
        </w:rPr>
      </w:pPr>
      <w:r w:rsidRPr="006F5716">
        <w:rPr>
          <w:rStyle w:val="FootnoteReference"/>
          <w:rFonts w:asciiTheme="minorHAnsi" w:hAnsiTheme="minorHAnsi" w:cstheme="minorHAnsi"/>
          <w:sz w:val="16"/>
          <w:szCs w:val="16"/>
        </w:rPr>
        <w:footnoteRef/>
      </w:r>
      <w:r w:rsidRPr="006F5716">
        <w:rPr>
          <w:rFonts w:asciiTheme="minorHAnsi" w:hAnsiTheme="minorHAnsi" w:cstheme="minorHAnsi"/>
          <w:szCs w:val="16"/>
        </w:rPr>
        <w:t xml:space="preserve"> In accordance with the Eurostat definition </w:t>
      </w:r>
    </w:p>
  </w:footnote>
  <w:footnote w:id="26">
    <w:p w14:paraId="51C5DF55" w14:textId="29AF4CBD" w:rsidR="00E12A2F" w:rsidRPr="00A53FF2" w:rsidRDefault="00E12A2F" w:rsidP="00A53FF2">
      <w:pPr>
        <w:jc w:val="both"/>
        <w:rPr>
          <w:rFonts w:eastAsia="SimSun"/>
          <w:sz w:val="16"/>
          <w:szCs w:val="16"/>
          <w:lang w:val="en-GB"/>
        </w:rPr>
      </w:pPr>
      <w:r>
        <w:rPr>
          <w:rStyle w:val="FootnoteReference"/>
        </w:rPr>
        <w:footnoteRef/>
      </w:r>
      <w:r>
        <w:t xml:space="preserve"> </w:t>
      </w:r>
      <w:r w:rsidRPr="00A53FF2">
        <w:rPr>
          <w:rFonts w:eastAsia="SimSun"/>
          <w:sz w:val="16"/>
          <w:szCs w:val="16"/>
          <w:lang w:val="en-GB"/>
        </w:rPr>
        <w:t>It is to be noted that data available would have permitted a further adjustment for cost to turnover ratios between island regions and other regions within the countries in the comparison group. On average, the cost of doing business is found to be around 20%, but results</w:t>
      </w:r>
      <w:r>
        <w:rPr>
          <w:rFonts w:eastAsia="SimSun"/>
          <w:lang w:val="en-GB"/>
        </w:rPr>
        <w:t xml:space="preserve"> </w:t>
      </w:r>
      <w:r w:rsidRPr="00A53FF2">
        <w:rPr>
          <w:rFonts w:eastAsia="SimSun"/>
          <w:sz w:val="16"/>
          <w:szCs w:val="16"/>
          <w:lang w:val="en-GB"/>
        </w:rPr>
        <w:t xml:space="preserve">vary quite significantly among countries between 0% and 40%. For this reason, and in order to avoid mixing the cost results from regional data with those of enterprise data, this further adjustment </w:t>
      </w:r>
      <w:r>
        <w:rPr>
          <w:rFonts w:eastAsia="SimSun"/>
          <w:sz w:val="16"/>
          <w:szCs w:val="16"/>
          <w:lang w:val="en-GB"/>
        </w:rPr>
        <w:t>wa</w:t>
      </w:r>
      <w:r w:rsidRPr="00A53FF2">
        <w:rPr>
          <w:rFonts w:eastAsia="SimSun"/>
          <w:sz w:val="16"/>
          <w:szCs w:val="16"/>
          <w:lang w:val="en-GB"/>
        </w:rPr>
        <w:t xml:space="preserve">s not </w:t>
      </w:r>
      <w:r w:rsidR="00CC606A">
        <w:rPr>
          <w:rFonts w:eastAsia="SimSun"/>
          <w:sz w:val="16"/>
          <w:szCs w:val="16"/>
          <w:lang w:val="en-GB"/>
        </w:rPr>
        <w:t>e</w:t>
      </w:r>
      <w:r w:rsidRPr="00A53FF2">
        <w:rPr>
          <w:rFonts w:eastAsia="SimSun"/>
          <w:sz w:val="16"/>
          <w:szCs w:val="16"/>
          <w:lang w:val="en-GB"/>
        </w:rPr>
        <w:t xml:space="preserve">ffected. </w:t>
      </w:r>
    </w:p>
    <w:p w14:paraId="137B4CA2" w14:textId="7CAE5940" w:rsidR="00E12A2F" w:rsidRPr="00A53FF2" w:rsidRDefault="00E12A2F">
      <w:pPr>
        <w:pStyle w:val="FootnoteText"/>
        <w:rPr>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FF2DDD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373776"/>
    <w:multiLevelType w:val="hybridMultilevel"/>
    <w:tmpl w:val="C71ADA28"/>
    <w:lvl w:ilvl="0" w:tplc="15641BD2">
      <w:start w:val="3"/>
      <w:numFmt w:val="bullet"/>
      <w:lvlText w:val="-"/>
      <w:lvlJc w:val="left"/>
      <w:pPr>
        <w:ind w:left="720" w:hanging="360"/>
      </w:pPr>
      <w:rPr>
        <w:rFonts w:ascii="Calibri" w:eastAsiaTheme="minorHAnsi"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2B80A60"/>
    <w:multiLevelType w:val="hybridMultilevel"/>
    <w:tmpl w:val="C902ED1A"/>
    <w:lvl w:ilvl="0" w:tplc="20000001">
      <w:start w:val="1"/>
      <w:numFmt w:val="bullet"/>
      <w:lvlText w:val=""/>
      <w:lvlJc w:val="left"/>
      <w:pPr>
        <w:ind w:left="720" w:hanging="360"/>
      </w:pPr>
      <w:rPr>
        <w:rFonts w:ascii="Symbol" w:hAnsi="Symbol" w:hint="default"/>
      </w:rPr>
    </w:lvl>
    <w:lvl w:ilvl="1" w:tplc="9F202F34">
      <w:start w:val="1"/>
      <w:numFmt w:val="decimal"/>
      <w:lvlText w:val="%2."/>
      <w:lvlJc w:val="left"/>
      <w:pPr>
        <w:ind w:left="1440" w:hanging="360"/>
      </w:pPr>
      <w:rPr>
        <w:rFonts w:asciiTheme="minorHAnsi" w:eastAsiaTheme="minorHAnsi" w:hAnsiTheme="minorHAnsi" w:cstheme="minorHAnsi"/>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515073"/>
    <w:multiLevelType w:val="multilevel"/>
    <w:tmpl w:val="2D1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819A1"/>
    <w:multiLevelType w:val="hybridMultilevel"/>
    <w:tmpl w:val="B93A76B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01A3D8C"/>
    <w:multiLevelType w:val="hybridMultilevel"/>
    <w:tmpl w:val="E09EAFE8"/>
    <w:lvl w:ilvl="0" w:tplc="0360E1DC">
      <w:start w:val="1"/>
      <w:numFmt w:val="bullet"/>
      <w:lvlRestart w:val="0"/>
      <w:lvlText w:val="-"/>
      <w:lvlJc w:val="left"/>
      <w:pPr>
        <w:tabs>
          <w:tab w:val="num" w:pos="726"/>
        </w:tabs>
        <w:ind w:left="1095" w:hanging="369"/>
      </w:pPr>
      <w:rPr>
        <w:rFonts w:ascii="Symbol" w:hAnsi="Symbol" w:hint="default"/>
        <w:b w:val="0"/>
        <w:i w:val="0"/>
        <w:sz w:val="22"/>
      </w:rPr>
    </w:lvl>
    <w:lvl w:ilvl="1" w:tplc="08090003" w:tentative="1">
      <w:start w:val="1"/>
      <w:numFmt w:val="bullet"/>
      <w:lvlText w:val="o"/>
      <w:lvlJc w:val="left"/>
      <w:pPr>
        <w:tabs>
          <w:tab w:val="num" w:pos="2166"/>
        </w:tabs>
        <w:ind w:left="2166" w:hanging="360"/>
      </w:pPr>
      <w:rPr>
        <w:rFonts w:ascii="Courier New" w:hAnsi="Courier New" w:cs="Courier New" w:hint="default"/>
      </w:rPr>
    </w:lvl>
    <w:lvl w:ilvl="2" w:tplc="08090005" w:tentative="1">
      <w:start w:val="1"/>
      <w:numFmt w:val="bullet"/>
      <w:lvlText w:val=""/>
      <w:lvlJc w:val="left"/>
      <w:pPr>
        <w:tabs>
          <w:tab w:val="num" w:pos="2886"/>
        </w:tabs>
        <w:ind w:left="2886" w:hanging="360"/>
      </w:pPr>
      <w:rPr>
        <w:rFonts w:ascii="Wingdings" w:hAnsi="Wingdings" w:hint="default"/>
      </w:rPr>
    </w:lvl>
    <w:lvl w:ilvl="3" w:tplc="08090001" w:tentative="1">
      <w:start w:val="1"/>
      <w:numFmt w:val="bullet"/>
      <w:lvlText w:val=""/>
      <w:lvlJc w:val="left"/>
      <w:pPr>
        <w:tabs>
          <w:tab w:val="num" w:pos="3606"/>
        </w:tabs>
        <w:ind w:left="3606" w:hanging="360"/>
      </w:pPr>
      <w:rPr>
        <w:rFonts w:ascii="Symbol" w:hAnsi="Symbol" w:hint="default"/>
      </w:rPr>
    </w:lvl>
    <w:lvl w:ilvl="4" w:tplc="08090003" w:tentative="1">
      <w:start w:val="1"/>
      <w:numFmt w:val="bullet"/>
      <w:lvlText w:val="o"/>
      <w:lvlJc w:val="left"/>
      <w:pPr>
        <w:tabs>
          <w:tab w:val="num" w:pos="4326"/>
        </w:tabs>
        <w:ind w:left="4326" w:hanging="360"/>
      </w:pPr>
      <w:rPr>
        <w:rFonts w:ascii="Courier New" w:hAnsi="Courier New" w:cs="Courier New" w:hint="default"/>
      </w:rPr>
    </w:lvl>
    <w:lvl w:ilvl="5" w:tplc="08090005" w:tentative="1">
      <w:start w:val="1"/>
      <w:numFmt w:val="bullet"/>
      <w:lvlText w:val=""/>
      <w:lvlJc w:val="left"/>
      <w:pPr>
        <w:tabs>
          <w:tab w:val="num" w:pos="5046"/>
        </w:tabs>
        <w:ind w:left="5046" w:hanging="360"/>
      </w:pPr>
      <w:rPr>
        <w:rFonts w:ascii="Wingdings" w:hAnsi="Wingdings" w:hint="default"/>
      </w:rPr>
    </w:lvl>
    <w:lvl w:ilvl="6" w:tplc="08090001" w:tentative="1">
      <w:start w:val="1"/>
      <w:numFmt w:val="bullet"/>
      <w:lvlText w:val=""/>
      <w:lvlJc w:val="left"/>
      <w:pPr>
        <w:tabs>
          <w:tab w:val="num" w:pos="5766"/>
        </w:tabs>
        <w:ind w:left="5766" w:hanging="360"/>
      </w:pPr>
      <w:rPr>
        <w:rFonts w:ascii="Symbol" w:hAnsi="Symbol" w:hint="default"/>
      </w:rPr>
    </w:lvl>
    <w:lvl w:ilvl="7" w:tplc="08090003" w:tentative="1">
      <w:start w:val="1"/>
      <w:numFmt w:val="bullet"/>
      <w:lvlText w:val="o"/>
      <w:lvlJc w:val="left"/>
      <w:pPr>
        <w:tabs>
          <w:tab w:val="num" w:pos="6486"/>
        </w:tabs>
        <w:ind w:left="6486" w:hanging="360"/>
      </w:pPr>
      <w:rPr>
        <w:rFonts w:ascii="Courier New" w:hAnsi="Courier New" w:cs="Courier New" w:hint="default"/>
      </w:rPr>
    </w:lvl>
    <w:lvl w:ilvl="8" w:tplc="08090005" w:tentative="1">
      <w:start w:val="1"/>
      <w:numFmt w:val="bullet"/>
      <w:lvlText w:val=""/>
      <w:lvlJc w:val="left"/>
      <w:pPr>
        <w:tabs>
          <w:tab w:val="num" w:pos="7206"/>
        </w:tabs>
        <w:ind w:left="7206" w:hanging="360"/>
      </w:pPr>
      <w:rPr>
        <w:rFonts w:ascii="Wingdings" w:hAnsi="Wingdings" w:hint="default"/>
      </w:rPr>
    </w:lvl>
  </w:abstractNum>
  <w:abstractNum w:abstractNumId="6" w15:restartNumberingAfterBreak="0">
    <w:nsid w:val="2477180B"/>
    <w:multiLevelType w:val="hybridMultilevel"/>
    <w:tmpl w:val="2398D8CE"/>
    <w:lvl w:ilvl="0" w:tplc="20000003">
      <w:start w:val="1"/>
      <w:numFmt w:val="bullet"/>
      <w:lvlText w:val="o"/>
      <w:lvlJc w:val="left"/>
      <w:pPr>
        <w:ind w:left="1437" w:hanging="360"/>
      </w:pPr>
      <w:rPr>
        <w:rFonts w:ascii="Courier New" w:hAnsi="Courier New" w:cs="Courier New" w:hint="default"/>
      </w:rPr>
    </w:lvl>
    <w:lvl w:ilvl="1" w:tplc="20000003" w:tentative="1">
      <w:start w:val="1"/>
      <w:numFmt w:val="bullet"/>
      <w:lvlText w:val="o"/>
      <w:lvlJc w:val="left"/>
      <w:pPr>
        <w:ind w:left="2157" w:hanging="360"/>
      </w:pPr>
      <w:rPr>
        <w:rFonts w:ascii="Courier New" w:hAnsi="Courier New" w:cs="Courier New" w:hint="default"/>
      </w:rPr>
    </w:lvl>
    <w:lvl w:ilvl="2" w:tplc="20000005" w:tentative="1">
      <w:start w:val="1"/>
      <w:numFmt w:val="bullet"/>
      <w:lvlText w:val=""/>
      <w:lvlJc w:val="left"/>
      <w:pPr>
        <w:ind w:left="2877" w:hanging="360"/>
      </w:pPr>
      <w:rPr>
        <w:rFonts w:ascii="Wingdings" w:hAnsi="Wingdings" w:hint="default"/>
      </w:rPr>
    </w:lvl>
    <w:lvl w:ilvl="3" w:tplc="20000001" w:tentative="1">
      <w:start w:val="1"/>
      <w:numFmt w:val="bullet"/>
      <w:lvlText w:val=""/>
      <w:lvlJc w:val="left"/>
      <w:pPr>
        <w:ind w:left="3597" w:hanging="360"/>
      </w:pPr>
      <w:rPr>
        <w:rFonts w:ascii="Symbol" w:hAnsi="Symbol" w:hint="default"/>
      </w:rPr>
    </w:lvl>
    <w:lvl w:ilvl="4" w:tplc="20000003" w:tentative="1">
      <w:start w:val="1"/>
      <w:numFmt w:val="bullet"/>
      <w:lvlText w:val="o"/>
      <w:lvlJc w:val="left"/>
      <w:pPr>
        <w:ind w:left="4317" w:hanging="360"/>
      </w:pPr>
      <w:rPr>
        <w:rFonts w:ascii="Courier New" w:hAnsi="Courier New" w:cs="Courier New" w:hint="default"/>
      </w:rPr>
    </w:lvl>
    <w:lvl w:ilvl="5" w:tplc="20000005" w:tentative="1">
      <w:start w:val="1"/>
      <w:numFmt w:val="bullet"/>
      <w:lvlText w:val=""/>
      <w:lvlJc w:val="left"/>
      <w:pPr>
        <w:ind w:left="5037" w:hanging="360"/>
      </w:pPr>
      <w:rPr>
        <w:rFonts w:ascii="Wingdings" w:hAnsi="Wingdings" w:hint="default"/>
      </w:rPr>
    </w:lvl>
    <w:lvl w:ilvl="6" w:tplc="20000001" w:tentative="1">
      <w:start w:val="1"/>
      <w:numFmt w:val="bullet"/>
      <w:lvlText w:val=""/>
      <w:lvlJc w:val="left"/>
      <w:pPr>
        <w:ind w:left="5757" w:hanging="360"/>
      </w:pPr>
      <w:rPr>
        <w:rFonts w:ascii="Symbol" w:hAnsi="Symbol" w:hint="default"/>
      </w:rPr>
    </w:lvl>
    <w:lvl w:ilvl="7" w:tplc="20000003" w:tentative="1">
      <w:start w:val="1"/>
      <w:numFmt w:val="bullet"/>
      <w:lvlText w:val="o"/>
      <w:lvlJc w:val="left"/>
      <w:pPr>
        <w:ind w:left="6477" w:hanging="360"/>
      </w:pPr>
      <w:rPr>
        <w:rFonts w:ascii="Courier New" w:hAnsi="Courier New" w:cs="Courier New" w:hint="default"/>
      </w:rPr>
    </w:lvl>
    <w:lvl w:ilvl="8" w:tplc="20000005" w:tentative="1">
      <w:start w:val="1"/>
      <w:numFmt w:val="bullet"/>
      <w:lvlText w:val=""/>
      <w:lvlJc w:val="left"/>
      <w:pPr>
        <w:ind w:left="7197" w:hanging="360"/>
      </w:pPr>
      <w:rPr>
        <w:rFonts w:ascii="Wingdings" w:hAnsi="Wingdings" w:hint="default"/>
      </w:rPr>
    </w:lvl>
  </w:abstractNum>
  <w:abstractNum w:abstractNumId="7" w15:restartNumberingAfterBreak="0">
    <w:nsid w:val="250733C0"/>
    <w:multiLevelType w:val="hybridMultilevel"/>
    <w:tmpl w:val="F7344084"/>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15:restartNumberingAfterBreak="0">
    <w:nsid w:val="261C2D2C"/>
    <w:multiLevelType w:val="hybridMultilevel"/>
    <w:tmpl w:val="41FE2BCE"/>
    <w:lvl w:ilvl="0" w:tplc="20000003">
      <w:start w:val="1"/>
      <w:numFmt w:val="bullet"/>
      <w:lvlText w:val="o"/>
      <w:lvlJc w:val="left"/>
      <w:pPr>
        <w:ind w:left="1488" w:hanging="360"/>
      </w:pPr>
      <w:rPr>
        <w:rFonts w:ascii="Courier New" w:hAnsi="Courier New" w:cs="Courier New" w:hint="default"/>
      </w:rPr>
    </w:lvl>
    <w:lvl w:ilvl="1" w:tplc="20000003" w:tentative="1">
      <w:start w:val="1"/>
      <w:numFmt w:val="bullet"/>
      <w:lvlText w:val="o"/>
      <w:lvlJc w:val="left"/>
      <w:pPr>
        <w:ind w:left="2208" w:hanging="360"/>
      </w:pPr>
      <w:rPr>
        <w:rFonts w:ascii="Courier New" w:hAnsi="Courier New" w:cs="Courier New" w:hint="default"/>
      </w:rPr>
    </w:lvl>
    <w:lvl w:ilvl="2" w:tplc="20000005" w:tentative="1">
      <w:start w:val="1"/>
      <w:numFmt w:val="bullet"/>
      <w:lvlText w:val=""/>
      <w:lvlJc w:val="left"/>
      <w:pPr>
        <w:ind w:left="2928" w:hanging="360"/>
      </w:pPr>
      <w:rPr>
        <w:rFonts w:ascii="Wingdings" w:hAnsi="Wingdings" w:hint="default"/>
      </w:rPr>
    </w:lvl>
    <w:lvl w:ilvl="3" w:tplc="20000001" w:tentative="1">
      <w:start w:val="1"/>
      <w:numFmt w:val="bullet"/>
      <w:lvlText w:val=""/>
      <w:lvlJc w:val="left"/>
      <w:pPr>
        <w:ind w:left="3648" w:hanging="360"/>
      </w:pPr>
      <w:rPr>
        <w:rFonts w:ascii="Symbol" w:hAnsi="Symbol" w:hint="default"/>
      </w:rPr>
    </w:lvl>
    <w:lvl w:ilvl="4" w:tplc="20000003" w:tentative="1">
      <w:start w:val="1"/>
      <w:numFmt w:val="bullet"/>
      <w:lvlText w:val="o"/>
      <w:lvlJc w:val="left"/>
      <w:pPr>
        <w:ind w:left="4368" w:hanging="360"/>
      </w:pPr>
      <w:rPr>
        <w:rFonts w:ascii="Courier New" w:hAnsi="Courier New" w:cs="Courier New" w:hint="default"/>
      </w:rPr>
    </w:lvl>
    <w:lvl w:ilvl="5" w:tplc="20000005" w:tentative="1">
      <w:start w:val="1"/>
      <w:numFmt w:val="bullet"/>
      <w:lvlText w:val=""/>
      <w:lvlJc w:val="left"/>
      <w:pPr>
        <w:ind w:left="5088" w:hanging="360"/>
      </w:pPr>
      <w:rPr>
        <w:rFonts w:ascii="Wingdings" w:hAnsi="Wingdings" w:hint="default"/>
      </w:rPr>
    </w:lvl>
    <w:lvl w:ilvl="6" w:tplc="20000001" w:tentative="1">
      <w:start w:val="1"/>
      <w:numFmt w:val="bullet"/>
      <w:lvlText w:val=""/>
      <w:lvlJc w:val="left"/>
      <w:pPr>
        <w:ind w:left="5808" w:hanging="360"/>
      </w:pPr>
      <w:rPr>
        <w:rFonts w:ascii="Symbol" w:hAnsi="Symbol" w:hint="default"/>
      </w:rPr>
    </w:lvl>
    <w:lvl w:ilvl="7" w:tplc="20000003" w:tentative="1">
      <w:start w:val="1"/>
      <w:numFmt w:val="bullet"/>
      <w:lvlText w:val="o"/>
      <w:lvlJc w:val="left"/>
      <w:pPr>
        <w:ind w:left="6528" w:hanging="360"/>
      </w:pPr>
      <w:rPr>
        <w:rFonts w:ascii="Courier New" w:hAnsi="Courier New" w:cs="Courier New" w:hint="default"/>
      </w:rPr>
    </w:lvl>
    <w:lvl w:ilvl="8" w:tplc="20000005" w:tentative="1">
      <w:start w:val="1"/>
      <w:numFmt w:val="bullet"/>
      <w:lvlText w:val=""/>
      <w:lvlJc w:val="left"/>
      <w:pPr>
        <w:ind w:left="7248" w:hanging="360"/>
      </w:pPr>
      <w:rPr>
        <w:rFonts w:ascii="Wingdings" w:hAnsi="Wingdings" w:hint="default"/>
      </w:rPr>
    </w:lvl>
  </w:abstractNum>
  <w:abstractNum w:abstractNumId="9" w15:restartNumberingAfterBreak="0">
    <w:nsid w:val="27011D16"/>
    <w:multiLevelType w:val="hybridMultilevel"/>
    <w:tmpl w:val="426450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B36447E"/>
    <w:multiLevelType w:val="hybridMultilevel"/>
    <w:tmpl w:val="312E072E"/>
    <w:lvl w:ilvl="0" w:tplc="CF5223C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BD216C"/>
    <w:multiLevelType w:val="hybridMultilevel"/>
    <w:tmpl w:val="2BA25E1E"/>
    <w:lvl w:ilvl="0" w:tplc="C84C8350">
      <w:start w:val="3"/>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FCF44D1"/>
    <w:multiLevelType w:val="hybridMultilevel"/>
    <w:tmpl w:val="4CB4208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1620894"/>
    <w:multiLevelType w:val="multilevel"/>
    <w:tmpl w:val="ABC8BF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7C68A8"/>
    <w:multiLevelType w:val="hybridMultilevel"/>
    <w:tmpl w:val="905EDF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74675363">
    <w:abstractNumId w:val="2"/>
  </w:num>
  <w:num w:numId="2" w16cid:durableId="559904067">
    <w:abstractNumId w:val="0"/>
  </w:num>
  <w:num w:numId="3" w16cid:durableId="391316177">
    <w:abstractNumId w:val="5"/>
  </w:num>
  <w:num w:numId="4" w16cid:durableId="775057587">
    <w:abstractNumId w:val="10"/>
  </w:num>
  <w:num w:numId="5" w16cid:durableId="1923176709">
    <w:abstractNumId w:val="13"/>
  </w:num>
  <w:num w:numId="6" w16cid:durableId="751632510">
    <w:abstractNumId w:val="9"/>
  </w:num>
  <w:num w:numId="7" w16cid:durableId="1623807201">
    <w:abstractNumId w:val="14"/>
  </w:num>
  <w:num w:numId="8" w16cid:durableId="2141221353">
    <w:abstractNumId w:val="6"/>
  </w:num>
  <w:num w:numId="9" w16cid:durableId="1028095139">
    <w:abstractNumId w:val="3"/>
  </w:num>
  <w:num w:numId="10" w16cid:durableId="421027683">
    <w:abstractNumId w:val="4"/>
  </w:num>
  <w:num w:numId="11" w16cid:durableId="246305986">
    <w:abstractNumId w:val="7"/>
  </w:num>
  <w:num w:numId="12" w16cid:durableId="1816096976">
    <w:abstractNumId w:val="8"/>
  </w:num>
  <w:num w:numId="13" w16cid:durableId="494030022">
    <w:abstractNumId w:val="11"/>
  </w:num>
  <w:num w:numId="14" w16cid:durableId="521866320">
    <w:abstractNumId w:val="1"/>
  </w:num>
  <w:num w:numId="15" w16cid:durableId="4123171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96"/>
    <w:rsid w:val="00001A9C"/>
    <w:rsid w:val="000079FD"/>
    <w:rsid w:val="000157F8"/>
    <w:rsid w:val="00051B12"/>
    <w:rsid w:val="00054390"/>
    <w:rsid w:val="00073E41"/>
    <w:rsid w:val="000864B3"/>
    <w:rsid w:val="00094196"/>
    <w:rsid w:val="000A283C"/>
    <w:rsid w:val="000C2ABC"/>
    <w:rsid w:val="000C57A3"/>
    <w:rsid w:val="000C62A5"/>
    <w:rsid w:val="000D0CD2"/>
    <w:rsid w:val="000E09F2"/>
    <w:rsid w:val="0011032B"/>
    <w:rsid w:val="00140CA4"/>
    <w:rsid w:val="001432CA"/>
    <w:rsid w:val="00183E3A"/>
    <w:rsid w:val="001C6C98"/>
    <w:rsid w:val="001D2780"/>
    <w:rsid w:val="001D5521"/>
    <w:rsid w:val="001F02F2"/>
    <w:rsid w:val="001F5752"/>
    <w:rsid w:val="00230F40"/>
    <w:rsid w:val="002450E3"/>
    <w:rsid w:val="002650BD"/>
    <w:rsid w:val="0027650A"/>
    <w:rsid w:val="0029758A"/>
    <w:rsid w:val="002A1001"/>
    <w:rsid w:val="002B6DA2"/>
    <w:rsid w:val="002C4818"/>
    <w:rsid w:val="002E6B90"/>
    <w:rsid w:val="002F44D0"/>
    <w:rsid w:val="002F54A4"/>
    <w:rsid w:val="002F5CC8"/>
    <w:rsid w:val="00303290"/>
    <w:rsid w:val="00314926"/>
    <w:rsid w:val="003169A7"/>
    <w:rsid w:val="003223E8"/>
    <w:rsid w:val="00327E49"/>
    <w:rsid w:val="00340208"/>
    <w:rsid w:val="003471C4"/>
    <w:rsid w:val="00351838"/>
    <w:rsid w:val="00354CEF"/>
    <w:rsid w:val="0035711C"/>
    <w:rsid w:val="00363EC2"/>
    <w:rsid w:val="0037009B"/>
    <w:rsid w:val="00370C7F"/>
    <w:rsid w:val="003A5EF2"/>
    <w:rsid w:val="003B4544"/>
    <w:rsid w:val="003D32B3"/>
    <w:rsid w:val="003D7022"/>
    <w:rsid w:val="003E5641"/>
    <w:rsid w:val="00416A5D"/>
    <w:rsid w:val="0043070B"/>
    <w:rsid w:val="00431E45"/>
    <w:rsid w:val="004410C6"/>
    <w:rsid w:val="00454675"/>
    <w:rsid w:val="004575D3"/>
    <w:rsid w:val="00480CE7"/>
    <w:rsid w:val="00484A51"/>
    <w:rsid w:val="00486328"/>
    <w:rsid w:val="0049042B"/>
    <w:rsid w:val="004B653A"/>
    <w:rsid w:val="004C01D2"/>
    <w:rsid w:val="004D4B5B"/>
    <w:rsid w:val="004D67B0"/>
    <w:rsid w:val="004D6DCB"/>
    <w:rsid w:val="004E2C10"/>
    <w:rsid w:val="004E7A42"/>
    <w:rsid w:val="005002ED"/>
    <w:rsid w:val="00506594"/>
    <w:rsid w:val="00553EBF"/>
    <w:rsid w:val="0055786A"/>
    <w:rsid w:val="00577040"/>
    <w:rsid w:val="005830B7"/>
    <w:rsid w:val="00583B6C"/>
    <w:rsid w:val="00584BB5"/>
    <w:rsid w:val="005A4504"/>
    <w:rsid w:val="005B0F21"/>
    <w:rsid w:val="005F615E"/>
    <w:rsid w:val="00600CAA"/>
    <w:rsid w:val="0064277B"/>
    <w:rsid w:val="00655E11"/>
    <w:rsid w:val="0065605C"/>
    <w:rsid w:val="00665AB7"/>
    <w:rsid w:val="006902AA"/>
    <w:rsid w:val="006B2C4E"/>
    <w:rsid w:val="006D6AFF"/>
    <w:rsid w:val="006D75BB"/>
    <w:rsid w:val="006E3F08"/>
    <w:rsid w:val="006E5929"/>
    <w:rsid w:val="006F528F"/>
    <w:rsid w:val="006F5716"/>
    <w:rsid w:val="00704467"/>
    <w:rsid w:val="00705437"/>
    <w:rsid w:val="007117CC"/>
    <w:rsid w:val="007354DE"/>
    <w:rsid w:val="0074130A"/>
    <w:rsid w:val="007513FF"/>
    <w:rsid w:val="00761935"/>
    <w:rsid w:val="007B37A0"/>
    <w:rsid w:val="007B4673"/>
    <w:rsid w:val="007D226C"/>
    <w:rsid w:val="007D4058"/>
    <w:rsid w:val="007D7B76"/>
    <w:rsid w:val="007F0386"/>
    <w:rsid w:val="007F1137"/>
    <w:rsid w:val="007F4831"/>
    <w:rsid w:val="007F7E1E"/>
    <w:rsid w:val="00812BAC"/>
    <w:rsid w:val="00844495"/>
    <w:rsid w:val="00860A2F"/>
    <w:rsid w:val="0089636F"/>
    <w:rsid w:val="008A6AA4"/>
    <w:rsid w:val="008D7496"/>
    <w:rsid w:val="008E0EFC"/>
    <w:rsid w:val="00911FCD"/>
    <w:rsid w:val="0093419A"/>
    <w:rsid w:val="00936C73"/>
    <w:rsid w:val="009522B6"/>
    <w:rsid w:val="009546B3"/>
    <w:rsid w:val="0095542F"/>
    <w:rsid w:val="00960C42"/>
    <w:rsid w:val="009A1143"/>
    <w:rsid w:val="009B162C"/>
    <w:rsid w:val="009D470D"/>
    <w:rsid w:val="00A11BCA"/>
    <w:rsid w:val="00A53FF2"/>
    <w:rsid w:val="00AA04EA"/>
    <w:rsid w:val="00AA61A5"/>
    <w:rsid w:val="00AB6696"/>
    <w:rsid w:val="00AC4C00"/>
    <w:rsid w:val="00AF5BD2"/>
    <w:rsid w:val="00B021FB"/>
    <w:rsid w:val="00B07D5B"/>
    <w:rsid w:val="00B150E4"/>
    <w:rsid w:val="00B16290"/>
    <w:rsid w:val="00B16EA5"/>
    <w:rsid w:val="00B21B55"/>
    <w:rsid w:val="00B2218E"/>
    <w:rsid w:val="00B245B8"/>
    <w:rsid w:val="00B377FF"/>
    <w:rsid w:val="00B60E45"/>
    <w:rsid w:val="00B94C91"/>
    <w:rsid w:val="00BB68B6"/>
    <w:rsid w:val="00C41F82"/>
    <w:rsid w:val="00C73F41"/>
    <w:rsid w:val="00C77289"/>
    <w:rsid w:val="00C8744F"/>
    <w:rsid w:val="00C949D3"/>
    <w:rsid w:val="00CA096C"/>
    <w:rsid w:val="00CC606A"/>
    <w:rsid w:val="00CC61ED"/>
    <w:rsid w:val="00CC7884"/>
    <w:rsid w:val="00CE58E1"/>
    <w:rsid w:val="00D078AD"/>
    <w:rsid w:val="00D1714A"/>
    <w:rsid w:val="00D2080D"/>
    <w:rsid w:val="00D62D7B"/>
    <w:rsid w:val="00D658E4"/>
    <w:rsid w:val="00D74799"/>
    <w:rsid w:val="00D95388"/>
    <w:rsid w:val="00DA709F"/>
    <w:rsid w:val="00DB2B00"/>
    <w:rsid w:val="00DC6B51"/>
    <w:rsid w:val="00DD28FA"/>
    <w:rsid w:val="00DD59B6"/>
    <w:rsid w:val="00DE42A7"/>
    <w:rsid w:val="00E043D4"/>
    <w:rsid w:val="00E12A2F"/>
    <w:rsid w:val="00E15175"/>
    <w:rsid w:val="00E2727E"/>
    <w:rsid w:val="00E349F2"/>
    <w:rsid w:val="00E53BB7"/>
    <w:rsid w:val="00E57A63"/>
    <w:rsid w:val="00E6005B"/>
    <w:rsid w:val="00EE7ADB"/>
    <w:rsid w:val="00F01EF0"/>
    <w:rsid w:val="00F62167"/>
    <w:rsid w:val="00F65A37"/>
    <w:rsid w:val="00F84A83"/>
    <w:rsid w:val="00FB59FA"/>
    <w:rsid w:val="00FE29B5"/>
    <w:rsid w:val="00FE2B39"/>
    <w:rsid w:val="00FE5D45"/>
    <w:rsid w:val="00FF0C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5450"/>
  <w15:chartTrackingRefBased/>
  <w15:docId w15:val="{681A8037-B82D-4CCA-B701-CA679F41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D7496"/>
    <w:pPr>
      <w:numPr>
        <w:numId w:val="2"/>
      </w:numPr>
      <w:spacing w:after="0" w:line="288" w:lineRule="auto"/>
      <w:ind w:left="567" w:hanging="567"/>
      <w:jc w:val="both"/>
      <w:outlineLvl w:val="0"/>
    </w:pPr>
    <w:rPr>
      <w:rFonts w:ascii="Times New Roman" w:eastAsia="Times New Roman" w:hAnsi="Times New Roman" w:cs="Times New Roman"/>
      <w:kern w:val="28"/>
      <w:lang w:val="en-GB"/>
    </w:rPr>
  </w:style>
  <w:style w:type="paragraph" w:styleId="Heading2">
    <w:name w:val="heading 2"/>
    <w:basedOn w:val="Normal"/>
    <w:next w:val="Normal"/>
    <w:link w:val="Heading2Char"/>
    <w:qFormat/>
    <w:rsid w:val="008D7496"/>
    <w:pPr>
      <w:numPr>
        <w:ilvl w:val="1"/>
        <w:numId w:val="2"/>
      </w:numPr>
      <w:spacing w:after="0" w:line="288" w:lineRule="auto"/>
      <w:ind w:left="567" w:hanging="567"/>
      <w:jc w:val="both"/>
      <w:outlineLvl w:val="1"/>
    </w:pPr>
    <w:rPr>
      <w:rFonts w:ascii="Times New Roman" w:eastAsia="Times New Roman" w:hAnsi="Times New Roman" w:cs="Times New Roman"/>
      <w:lang w:val="en-GB"/>
    </w:rPr>
  </w:style>
  <w:style w:type="paragraph" w:styleId="Heading3">
    <w:name w:val="heading 3"/>
    <w:basedOn w:val="Normal"/>
    <w:next w:val="Normal"/>
    <w:link w:val="Heading3Char"/>
    <w:qFormat/>
    <w:rsid w:val="008D7496"/>
    <w:pPr>
      <w:numPr>
        <w:ilvl w:val="2"/>
        <w:numId w:val="2"/>
      </w:numPr>
      <w:spacing w:after="0" w:line="288" w:lineRule="auto"/>
      <w:ind w:left="567" w:hanging="567"/>
      <w:jc w:val="both"/>
      <w:outlineLvl w:val="2"/>
    </w:pPr>
    <w:rPr>
      <w:rFonts w:ascii="Times New Roman" w:eastAsia="Times New Roman" w:hAnsi="Times New Roman" w:cs="Times New Roman"/>
      <w:lang w:val="en-GB"/>
    </w:rPr>
  </w:style>
  <w:style w:type="paragraph" w:styleId="Heading4">
    <w:name w:val="heading 4"/>
    <w:basedOn w:val="Normal"/>
    <w:next w:val="Normal"/>
    <w:link w:val="Heading4Char"/>
    <w:qFormat/>
    <w:rsid w:val="008D7496"/>
    <w:pPr>
      <w:numPr>
        <w:ilvl w:val="3"/>
        <w:numId w:val="2"/>
      </w:numPr>
      <w:spacing w:after="0" w:line="288" w:lineRule="auto"/>
      <w:ind w:left="567" w:hanging="567"/>
      <w:jc w:val="both"/>
      <w:outlineLvl w:val="3"/>
    </w:pPr>
    <w:rPr>
      <w:rFonts w:ascii="Times New Roman" w:eastAsia="Times New Roman" w:hAnsi="Times New Roman" w:cs="Times New Roman"/>
      <w:lang w:val="en-GB"/>
    </w:rPr>
  </w:style>
  <w:style w:type="paragraph" w:styleId="Heading5">
    <w:name w:val="heading 5"/>
    <w:basedOn w:val="Normal"/>
    <w:next w:val="Normal"/>
    <w:link w:val="Heading5Char"/>
    <w:qFormat/>
    <w:rsid w:val="008D7496"/>
    <w:pPr>
      <w:numPr>
        <w:ilvl w:val="4"/>
        <w:numId w:val="2"/>
      </w:numPr>
      <w:spacing w:after="0" w:line="288" w:lineRule="auto"/>
      <w:ind w:left="567" w:hanging="567"/>
      <w:jc w:val="both"/>
      <w:outlineLvl w:val="4"/>
    </w:pPr>
    <w:rPr>
      <w:rFonts w:ascii="Times New Roman" w:eastAsia="Times New Roman" w:hAnsi="Times New Roman" w:cs="Times New Roman"/>
      <w:lang w:val="en-GB"/>
    </w:rPr>
  </w:style>
  <w:style w:type="paragraph" w:styleId="Heading6">
    <w:name w:val="heading 6"/>
    <w:basedOn w:val="Normal"/>
    <w:next w:val="Normal"/>
    <w:link w:val="Heading6Char"/>
    <w:qFormat/>
    <w:rsid w:val="008D7496"/>
    <w:pPr>
      <w:numPr>
        <w:ilvl w:val="5"/>
        <w:numId w:val="2"/>
      </w:numPr>
      <w:spacing w:after="0" w:line="288" w:lineRule="auto"/>
      <w:ind w:left="567" w:hanging="567"/>
      <w:jc w:val="both"/>
      <w:outlineLvl w:val="5"/>
    </w:pPr>
    <w:rPr>
      <w:rFonts w:ascii="Times New Roman" w:eastAsia="Times New Roman" w:hAnsi="Times New Roman" w:cs="Times New Roman"/>
      <w:lang w:val="en-GB"/>
    </w:rPr>
  </w:style>
  <w:style w:type="paragraph" w:styleId="Heading7">
    <w:name w:val="heading 7"/>
    <w:basedOn w:val="Normal"/>
    <w:next w:val="Normal"/>
    <w:link w:val="Heading7Char"/>
    <w:qFormat/>
    <w:rsid w:val="008D7496"/>
    <w:pPr>
      <w:numPr>
        <w:ilvl w:val="6"/>
        <w:numId w:val="2"/>
      </w:numPr>
      <w:spacing w:after="0" w:line="288" w:lineRule="auto"/>
      <w:ind w:left="567" w:hanging="567"/>
      <w:jc w:val="both"/>
      <w:outlineLvl w:val="6"/>
    </w:pPr>
    <w:rPr>
      <w:rFonts w:ascii="Times New Roman" w:eastAsia="Times New Roman" w:hAnsi="Times New Roman" w:cs="Times New Roman"/>
      <w:lang w:val="en-GB"/>
    </w:rPr>
  </w:style>
  <w:style w:type="paragraph" w:styleId="Heading8">
    <w:name w:val="heading 8"/>
    <w:basedOn w:val="Normal"/>
    <w:next w:val="Normal"/>
    <w:link w:val="Heading8Char"/>
    <w:qFormat/>
    <w:rsid w:val="008D7496"/>
    <w:pPr>
      <w:numPr>
        <w:ilvl w:val="7"/>
        <w:numId w:val="2"/>
      </w:numPr>
      <w:spacing w:after="0" w:line="288" w:lineRule="auto"/>
      <w:ind w:left="567" w:hanging="567"/>
      <w:jc w:val="both"/>
      <w:outlineLvl w:val="7"/>
    </w:pPr>
    <w:rPr>
      <w:rFonts w:ascii="Times New Roman" w:eastAsia="Times New Roman" w:hAnsi="Times New Roman" w:cs="Times New Roman"/>
      <w:lang w:val="en-GB"/>
    </w:rPr>
  </w:style>
  <w:style w:type="paragraph" w:styleId="Heading9">
    <w:name w:val="heading 9"/>
    <w:basedOn w:val="Normal"/>
    <w:next w:val="Normal"/>
    <w:link w:val="Heading9Char"/>
    <w:qFormat/>
    <w:rsid w:val="008D7496"/>
    <w:pPr>
      <w:numPr>
        <w:ilvl w:val="8"/>
        <w:numId w:val="2"/>
      </w:numPr>
      <w:spacing w:after="0" w:line="288" w:lineRule="auto"/>
      <w:ind w:left="567" w:hanging="567"/>
      <w:jc w:val="both"/>
      <w:outlineLvl w:val="8"/>
    </w:pPr>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496"/>
    <w:pPr>
      <w:ind w:left="720"/>
      <w:contextualSpacing/>
    </w:pPr>
  </w:style>
  <w:style w:type="character" w:customStyle="1" w:styleId="Heading1Char">
    <w:name w:val="Heading 1 Char"/>
    <w:basedOn w:val="DefaultParagraphFont"/>
    <w:link w:val="Heading1"/>
    <w:rsid w:val="008D7496"/>
    <w:rPr>
      <w:rFonts w:ascii="Times New Roman" w:eastAsia="Times New Roman" w:hAnsi="Times New Roman" w:cs="Times New Roman"/>
      <w:kern w:val="28"/>
      <w:lang w:val="en-GB"/>
    </w:rPr>
  </w:style>
  <w:style w:type="character" w:customStyle="1" w:styleId="Heading2Char">
    <w:name w:val="Heading 2 Char"/>
    <w:basedOn w:val="DefaultParagraphFont"/>
    <w:link w:val="Heading2"/>
    <w:rsid w:val="008D7496"/>
    <w:rPr>
      <w:rFonts w:ascii="Times New Roman" w:eastAsia="Times New Roman" w:hAnsi="Times New Roman" w:cs="Times New Roman"/>
      <w:lang w:val="en-GB"/>
    </w:rPr>
  </w:style>
  <w:style w:type="character" w:customStyle="1" w:styleId="Heading3Char">
    <w:name w:val="Heading 3 Char"/>
    <w:basedOn w:val="DefaultParagraphFont"/>
    <w:link w:val="Heading3"/>
    <w:rsid w:val="008D7496"/>
    <w:rPr>
      <w:rFonts w:ascii="Times New Roman" w:eastAsia="Times New Roman" w:hAnsi="Times New Roman" w:cs="Times New Roman"/>
      <w:lang w:val="en-GB"/>
    </w:rPr>
  </w:style>
  <w:style w:type="character" w:customStyle="1" w:styleId="Heading4Char">
    <w:name w:val="Heading 4 Char"/>
    <w:basedOn w:val="DefaultParagraphFont"/>
    <w:link w:val="Heading4"/>
    <w:rsid w:val="008D7496"/>
    <w:rPr>
      <w:rFonts w:ascii="Times New Roman" w:eastAsia="Times New Roman" w:hAnsi="Times New Roman" w:cs="Times New Roman"/>
      <w:lang w:val="en-GB"/>
    </w:rPr>
  </w:style>
  <w:style w:type="character" w:customStyle="1" w:styleId="Heading5Char">
    <w:name w:val="Heading 5 Char"/>
    <w:basedOn w:val="DefaultParagraphFont"/>
    <w:link w:val="Heading5"/>
    <w:rsid w:val="008D7496"/>
    <w:rPr>
      <w:rFonts w:ascii="Times New Roman" w:eastAsia="Times New Roman" w:hAnsi="Times New Roman" w:cs="Times New Roman"/>
      <w:lang w:val="en-GB"/>
    </w:rPr>
  </w:style>
  <w:style w:type="character" w:customStyle="1" w:styleId="Heading6Char">
    <w:name w:val="Heading 6 Char"/>
    <w:basedOn w:val="DefaultParagraphFont"/>
    <w:link w:val="Heading6"/>
    <w:rsid w:val="008D7496"/>
    <w:rPr>
      <w:rFonts w:ascii="Times New Roman" w:eastAsia="Times New Roman" w:hAnsi="Times New Roman" w:cs="Times New Roman"/>
      <w:lang w:val="en-GB"/>
    </w:rPr>
  </w:style>
  <w:style w:type="character" w:customStyle="1" w:styleId="Heading7Char">
    <w:name w:val="Heading 7 Char"/>
    <w:basedOn w:val="DefaultParagraphFont"/>
    <w:link w:val="Heading7"/>
    <w:rsid w:val="008D7496"/>
    <w:rPr>
      <w:rFonts w:ascii="Times New Roman" w:eastAsia="Times New Roman" w:hAnsi="Times New Roman" w:cs="Times New Roman"/>
      <w:lang w:val="en-GB"/>
    </w:rPr>
  </w:style>
  <w:style w:type="character" w:customStyle="1" w:styleId="Heading8Char">
    <w:name w:val="Heading 8 Char"/>
    <w:basedOn w:val="DefaultParagraphFont"/>
    <w:link w:val="Heading8"/>
    <w:rsid w:val="008D7496"/>
    <w:rPr>
      <w:rFonts w:ascii="Times New Roman" w:eastAsia="Times New Roman" w:hAnsi="Times New Roman" w:cs="Times New Roman"/>
      <w:lang w:val="en-GB"/>
    </w:rPr>
  </w:style>
  <w:style w:type="character" w:customStyle="1" w:styleId="Heading9Char">
    <w:name w:val="Heading 9 Char"/>
    <w:basedOn w:val="DefaultParagraphFont"/>
    <w:link w:val="Heading9"/>
    <w:rsid w:val="008D7496"/>
    <w:rPr>
      <w:rFonts w:ascii="Times New Roman" w:eastAsia="Times New Roman" w:hAnsi="Times New Roman" w:cs="Times New Roman"/>
      <w:lang w:val="en-GB"/>
    </w:rPr>
  </w:style>
  <w:style w:type="paragraph" w:styleId="FootnoteText">
    <w:name w:val="footnote text"/>
    <w:aliases w:val="Char1,Footnote Text Char3 Char,Footnote Text Char1 Char1 Char,Footnote Text Char2 Char Char Char,Footnote Text Char1 Char1 Char Char Char,Footnote Text Char2 Char Char Char Char Char,Footnote Text Char3,fn Char,Podrozdzi,Znak"/>
    <w:basedOn w:val="Normal"/>
    <w:link w:val="FootnoteTextChar"/>
    <w:qFormat/>
    <w:rsid w:val="008D7496"/>
    <w:pPr>
      <w:keepLines/>
      <w:spacing w:after="60" w:line="240" w:lineRule="auto"/>
      <w:ind w:left="567" w:hanging="567"/>
      <w:jc w:val="both"/>
    </w:pPr>
    <w:rPr>
      <w:rFonts w:ascii="Times New Roman" w:eastAsia="Times New Roman" w:hAnsi="Times New Roman" w:cs="Times New Roman"/>
      <w:sz w:val="16"/>
      <w:lang w:val="en-GB"/>
    </w:rPr>
  </w:style>
  <w:style w:type="character" w:customStyle="1" w:styleId="FootnoteTextChar">
    <w:name w:val="Footnote Text Char"/>
    <w:aliases w:val="Char1 Char,Footnote Text Char3 Char Char,Footnote Text Char1 Char1 Char Char,Footnote Text Char2 Char Char Char Char,Footnote Text Char1 Char1 Char Char Char Char,Footnote Text Char2 Char Char Char Char Char Char,fn Char Char"/>
    <w:basedOn w:val="DefaultParagraphFont"/>
    <w:link w:val="FootnoteText"/>
    <w:rsid w:val="008D7496"/>
    <w:rPr>
      <w:rFonts w:ascii="Times New Roman" w:eastAsia="Times New Roman" w:hAnsi="Times New Roman" w:cs="Times New Roman"/>
      <w:sz w:val="16"/>
      <w:lang w:val="en-GB"/>
    </w:rPr>
  </w:style>
  <w:style w:type="character" w:styleId="FootnoteReference">
    <w:name w:val="footnote reference"/>
    <w:basedOn w:val="DefaultParagraphFont"/>
    <w:unhideWhenUsed/>
    <w:qFormat/>
    <w:rsid w:val="008D7496"/>
    <w:rPr>
      <w:sz w:val="24"/>
      <w:vertAlign w:val="superscript"/>
    </w:rPr>
  </w:style>
  <w:style w:type="paragraph" w:styleId="NormalWeb">
    <w:name w:val="Normal (Web)"/>
    <w:basedOn w:val="Normal"/>
    <w:uiPriority w:val="99"/>
    <w:unhideWhenUsed/>
    <w:rsid w:val="003D70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rsid w:val="003D7022"/>
    <w:rPr>
      <w:color w:val="0000FF"/>
      <w:u w:val="single"/>
    </w:rPr>
  </w:style>
  <w:style w:type="paragraph" w:customStyle="1" w:styleId="EText">
    <w:name w:val="E Text"/>
    <w:link w:val="ETextChar"/>
    <w:qFormat/>
    <w:rsid w:val="009546B3"/>
    <w:pPr>
      <w:spacing w:after="120" w:line="360" w:lineRule="auto"/>
      <w:jc w:val="both"/>
    </w:pPr>
    <w:rPr>
      <w:rFonts w:ascii="Arial" w:eastAsia="Times New Roman" w:hAnsi="Arial" w:cs="Times New Roman"/>
      <w:sz w:val="20"/>
      <w:szCs w:val="20"/>
      <w:lang w:val="en-GB" w:eastAsia="de-DE"/>
    </w:rPr>
  </w:style>
  <w:style w:type="character" w:customStyle="1" w:styleId="ETextChar">
    <w:name w:val="E Text Char"/>
    <w:basedOn w:val="DefaultParagraphFont"/>
    <w:link w:val="EText"/>
    <w:rsid w:val="009546B3"/>
    <w:rPr>
      <w:rFonts w:ascii="Arial" w:eastAsia="Times New Roman" w:hAnsi="Arial" w:cs="Times New Roman"/>
      <w:sz w:val="20"/>
      <w:szCs w:val="20"/>
      <w:lang w:val="en-GB" w:eastAsia="de-DE"/>
    </w:rPr>
  </w:style>
  <w:style w:type="character" w:styleId="Emphasis">
    <w:name w:val="Emphasis"/>
    <w:basedOn w:val="DefaultParagraphFont"/>
    <w:uiPriority w:val="20"/>
    <w:qFormat/>
    <w:rsid w:val="00B377FF"/>
    <w:rPr>
      <w:i/>
      <w:iCs/>
    </w:rPr>
  </w:style>
  <w:style w:type="character" w:styleId="CommentReference">
    <w:name w:val="annotation reference"/>
    <w:basedOn w:val="DefaultParagraphFont"/>
    <w:uiPriority w:val="99"/>
    <w:semiHidden/>
    <w:unhideWhenUsed/>
    <w:rsid w:val="000864B3"/>
    <w:rPr>
      <w:sz w:val="16"/>
      <w:szCs w:val="16"/>
    </w:rPr>
  </w:style>
  <w:style w:type="paragraph" w:styleId="CommentText">
    <w:name w:val="annotation text"/>
    <w:basedOn w:val="Normal"/>
    <w:link w:val="CommentTextChar"/>
    <w:uiPriority w:val="99"/>
    <w:semiHidden/>
    <w:unhideWhenUsed/>
    <w:rsid w:val="000864B3"/>
    <w:pPr>
      <w:spacing w:line="240" w:lineRule="auto"/>
    </w:pPr>
    <w:rPr>
      <w:sz w:val="20"/>
      <w:szCs w:val="20"/>
    </w:rPr>
  </w:style>
  <w:style w:type="character" w:customStyle="1" w:styleId="CommentTextChar">
    <w:name w:val="Comment Text Char"/>
    <w:basedOn w:val="DefaultParagraphFont"/>
    <w:link w:val="CommentText"/>
    <w:uiPriority w:val="99"/>
    <w:semiHidden/>
    <w:rsid w:val="000864B3"/>
    <w:rPr>
      <w:sz w:val="20"/>
      <w:szCs w:val="20"/>
    </w:rPr>
  </w:style>
  <w:style w:type="paragraph" w:styleId="CommentSubject">
    <w:name w:val="annotation subject"/>
    <w:basedOn w:val="CommentText"/>
    <w:next w:val="CommentText"/>
    <w:link w:val="CommentSubjectChar"/>
    <w:uiPriority w:val="99"/>
    <w:semiHidden/>
    <w:unhideWhenUsed/>
    <w:rsid w:val="000864B3"/>
    <w:rPr>
      <w:b/>
      <w:bCs/>
    </w:rPr>
  </w:style>
  <w:style w:type="character" w:customStyle="1" w:styleId="CommentSubjectChar">
    <w:name w:val="Comment Subject Char"/>
    <w:basedOn w:val="CommentTextChar"/>
    <w:link w:val="CommentSubject"/>
    <w:uiPriority w:val="99"/>
    <w:semiHidden/>
    <w:rsid w:val="000864B3"/>
    <w:rPr>
      <w:b/>
      <w:bCs/>
      <w:sz w:val="20"/>
      <w:szCs w:val="20"/>
    </w:rPr>
  </w:style>
  <w:style w:type="paragraph" w:styleId="BalloonText">
    <w:name w:val="Balloon Text"/>
    <w:basedOn w:val="Normal"/>
    <w:link w:val="BalloonTextChar"/>
    <w:uiPriority w:val="99"/>
    <w:semiHidden/>
    <w:unhideWhenUsed/>
    <w:rsid w:val="00086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4B3"/>
    <w:rPr>
      <w:rFonts w:ascii="Segoe UI" w:hAnsi="Segoe UI" w:cs="Segoe UI"/>
      <w:sz w:val="18"/>
      <w:szCs w:val="18"/>
    </w:rPr>
  </w:style>
  <w:style w:type="character" w:styleId="Strong">
    <w:name w:val="Strong"/>
    <w:basedOn w:val="DefaultParagraphFont"/>
    <w:uiPriority w:val="22"/>
    <w:qFormat/>
    <w:rsid w:val="00480CE7"/>
    <w:rPr>
      <w:b/>
      <w:bCs/>
    </w:rPr>
  </w:style>
  <w:style w:type="paragraph" w:styleId="Revision">
    <w:name w:val="Revision"/>
    <w:hidden/>
    <w:uiPriority w:val="99"/>
    <w:semiHidden/>
    <w:rsid w:val="00584BB5"/>
    <w:pPr>
      <w:spacing w:after="0" w:line="240" w:lineRule="auto"/>
    </w:pPr>
  </w:style>
  <w:style w:type="paragraph" w:styleId="Header">
    <w:name w:val="header"/>
    <w:basedOn w:val="Normal"/>
    <w:link w:val="HeaderChar"/>
    <w:uiPriority w:val="99"/>
    <w:unhideWhenUsed/>
    <w:rsid w:val="00FF0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C77"/>
  </w:style>
  <w:style w:type="paragraph" w:styleId="Footer">
    <w:name w:val="footer"/>
    <w:basedOn w:val="Normal"/>
    <w:link w:val="FooterChar"/>
    <w:uiPriority w:val="99"/>
    <w:unhideWhenUsed/>
    <w:rsid w:val="00FF0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C77"/>
  </w:style>
  <w:style w:type="paragraph" w:styleId="Caption">
    <w:name w:val="caption"/>
    <w:basedOn w:val="Normal"/>
    <w:next w:val="Normal"/>
    <w:uiPriority w:val="35"/>
    <w:unhideWhenUsed/>
    <w:qFormat/>
    <w:rsid w:val="009522B6"/>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416A5D"/>
    <w:rPr>
      <w:color w:val="605E5C"/>
      <w:shd w:val="clear" w:color="auto" w:fill="E1DFDD"/>
    </w:rPr>
  </w:style>
  <w:style w:type="character" w:customStyle="1" w:styleId="at1">
    <w:name w:val="a__t1"/>
    <w:basedOn w:val="DefaultParagraphFont"/>
    <w:rsid w:val="0007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1954">
      <w:bodyDiv w:val="1"/>
      <w:marLeft w:val="0"/>
      <w:marRight w:val="0"/>
      <w:marTop w:val="0"/>
      <w:marBottom w:val="0"/>
      <w:divBdr>
        <w:top w:val="none" w:sz="0" w:space="0" w:color="auto"/>
        <w:left w:val="none" w:sz="0" w:space="0" w:color="auto"/>
        <w:bottom w:val="none" w:sz="0" w:space="0" w:color="auto"/>
        <w:right w:val="none" w:sz="0" w:space="0" w:color="auto"/>
      </w:divBdr>
    </w:div>
    <w:div w:id="243494332">
      <w:bodyDiv w:val="1"/>
      <w:marLeft w:val="0"/>
      <w:marRight w:val="0"/>
      <w:marTop w:val="0"/>
      <w:marBottom w:val="0"/>
      <w:divBdr>
        <w:top w:val="none" w:sz="0" w:space="0" w:color="auto"/>
        <w:left w:val="none" w:sz="0" w:space="0" w:color="auto"/>
        <w:bottom w:val="none" w:sz="0" w:space="0" w:color="auto"/>
        <w:right w:val="none" w:sz="0" w:space="0" w:color="auto"/>
      </w:divBdr>
    </w:div>
    <w:div w:id="711466664">
      <w:bodyDiv w:val="1"/>
      <w:marLeft w:val="0"/>
      <w:marRight w:val="0"/>
      <w:marTop w:val="0"/>
      <w:marBottom w:val="0"/>
      <w:divBdr>
        <w:top w:val="none" w:sz="0" w:space="0" w:color="auto"/>
        <w:left w:val="none" w:sz="0" w:space="0" w:color="auto"/>
        <w:bottom w:val="none" w:sz="0" w:space="0" w:color="auto"/>
        <w:right w:val="none" w:sz="0" w:space="0" w:color="auto"/>
      </w:divBdr>
    </w:div>
    <w:div w:id="1308775789">
      <w:bodyDiv w:val="1"/>
      <w:marLeft w:val="0"/>
      <w:marRight w:val="0"/>
      <w:marTop w:val="0"/>
      <w:marBottom w:val="0"/>
      <w:divBdr>
        <w:top w:val="none" w:sz="0" w:space="0" w:color="auto"/>
        <w:left w:val="none" w:sz="0" w:space="0" w:color="auto"/>
        <w:bottom w:val="none" w:sz="0" w:space="0" w:color="auto"/>
        <w:right w:val="none" w:sz="0" w:space="0" w:color="auto"/>
      </w:divBdr>
    </w:div>
    <w:div w:id="15548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amalta.com/en/articles/item/527-bov-jaime-financing-package.html" TargetMode="Externa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imesofmalta.com/articles/view/APS-Bank-to-operate-12m-innovation-facility-for-Maltese-SMEs.628569"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eece-is.com/food-northern-aegean-lavish-meze-ouzo-sweet-wine/"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https://gaarden.nu/media/1200/madstrategi_uk.pdf"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www.europarl.europa.eu/factsheets/en/sheet/135/trans-european-networks-guidelines" TargetMode="External"/><Relationship Id="rId14" Type="http://schemas.openxmlformats.org/officeDocument/2006/relationships/image" Target="media/image2.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greece-is.com/food-northern-aegean-lavish-meze-ouzo-sweet-wine/" TargetMode="External"/><Relationship Id="rId2" Type="http://schemas.openxmlformats.org/officeDocument/2006/relationships/hyperlink" Target="https://gaarden.nu/media/1200/madstrategi_uk.pdf" TargetMode="External"/><Relationship Id="rId1" Type="http://schemas.openxmlformats.org/officeDocument/2006/relationships/hyperlink" Target="http://www.europarl.europa.eu/factsheets/en/sheet/135/trans-european-networks-guidelines" TargetMode="External"/><Relationship Id="rId5" Type="http://schemas.openxmlformats.org/officeDocument/2006/relationships/hyperlink" Target="https://timesofmalta.com/articles/view/APS-Bank-to-operate-12m-innovation-facility-for-Maltese-SMEs.628569" TargetMode="External"/><Relationship Id="rId4" Type="http://schemas.openxmlformats.org/officeDocument/2006/relationships/hyperlink" Target="http://www.3amalta.com/en/articles/item/527-bov-jaime-financing-pack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5EE4D-2260-4240-96DA-4A9AE3738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5036</Words>
  <Characters>28711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Borg</dc:creator>
  <cp:keywords/>
  <dc:description/>
  <cp:lastModifiedBy>Irene Mikelis</cp:lastModifiedBy>
  <cp:revision>2</cp:revision>
  <cp:lastPrinted>2019-10-21T09:55:00Z</cp:lastPrinted>
  <dcterms:created xsi:type="dcterms:W3CDTF">2026-05-08T06:39:00Z</dcterms:created>
  <dcterms:modified xsi:type="dcterms:W3CDTF">2026-05-08T06:39:00Z</dcterms:modified>
</cp:coreProperties>
</file>